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1F9F" w:rsidRDefault="00BE2791" w:rsidP="005A1F9F">
      <w:pPr>
        <w:tabs>
          <w:tab w:val="left" w:pos="-1260"/>
        </w:tabs>
      </w:pPr>
      <w:r>
        <w:rPr>
          <w:noProof/>
        </w:rPr>
        <mc:AlternateContent>
          <mc:Choice Requires="wpg">
            <w:drawing>
              <wp:anchor distT="0" distB="0" distL="114300" distR="114300" simplePos="0" relativeHeight="251660288" behindDoc="0" locked="0" layoutInCell="0" allowOverlap="1" wp14:anchorId="76D751FB" wp14:editId="00E187A6">
                <wp:simplePos x="0" y="0"/>
                <wp:positionH relativeFrom="column">
                  <wp:posOffset>-53439</wp:posOffset>
                </wp:positionH>
                <wp:positionV relativeFrom="page">
                  <wp:posOffset>402590</wp:posOffset>
                </wp:positionV>
                <wp:extent cx="6922008" cy="2075688"/>
                <wp:effectExtent l="0" t="0" r="31750" b="1270"/>
                <wp:wrapNone/>
                <wp:docPr id="16" name="Group 16"/>
                <wp:cNvGraphicFramePr/>
                <a:graphic xmlns:a="http://schemas.openxmlformats.org/drawingml/2006/main">
                  <a:graphicData uri="http://schemas.microsoft.com/office/word/2010/wordprocessingGroup">
                    <wpg:wgp>
                      <wpg:cNvGrpSpPr/>
                      <wpg:grpSpPr>
                        <a:xfrm>
                          <a:off x="0" y="0"/>
                          <a:ext cx="6922008" cy="2075688"/>
                          <a:chOff x="0" y="0"/>
                          <a:chExt cx="6917055" cy="2078182"/>
                        </a:xfrm>
                      </wpg:grpSpPr>
                      <wps:wsp>
                        <wps:cNvPr id="1" name="Text Box 1"/>
                        <wps:cNvSpPr txBox="1"/>
                        <wps:spPr>
                          <a:xfrm>
                            <a:off x="0" y="0"/>
                            <a:ext cx="6917055" cy="207818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322CF" w:rsidRDefault="00CA2A46" w:rsidP="00E322CF">
                              <w:pPr>
                                <w:spacing w:after="360"/>
                                <w:jc w:val="center"/>
                              </w:pPr>
                              <w:r>
                                <w:rPr>
                                  <w:noProof/>
                                </w:rPr>
                                <w:drawing>
                                  <wp:inline distT="0" distB="0" distL="0" distR="0">
                                    <wp:extent cx="2057400" cy="626349"/>
                                    <wp:effectExtent l="0" t="0" r="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kWiselyLOGO_final_thickerstroke.jpg"/>
                                            <pic:cNvPicPr/>
                                          </pic:nvPicPr>
                                          <pic:blipFill rotWithShape="1">
                                            <a:blip r:embed="rId7" cstate="print">
                                              <a:extLst>
                                                <a:ext uri="{28A0092B-C50C-407E-A947-70E740481C1C}">
                                                  <a14:useLocalDpi xmlns:a14="http://schemas.microsoft.com/office/drawing/2010/main" val="0"/>
                                                </a:ext>
                                              </a:extLst>
                                            </a:blip>
                                            <a:srcRect t="46639"/>
                                            <a:stretch/>
                                          </pic:blipFill>
                                          <pic:spPr bwMode="auto">
                                            <a:xfrm>
                                              <a:off x="0" y="0"/>
                                              <a:ext cx="2057400" cy="626349"/>
                                            </a:xfrm>
                                            <a:prstGeom prst="rect">
                                              <a:avLst/>
                                            </a:prstGeom>
                                            <a:ln>
                                              <a:noFill/>
                                            </a:ln>
                                            <a:extLst>
                                              <a:ext uri="{53640926-AAD7-44D8-BBD7-CCE9431645EC}">
                                                <a14:shadowObscured xmlns:a14="http://schemas.microsoft.com/office/drawing/2010/main"/>
                                              </a:ext>
                                            </a:extLst>
                                          </pic:spPr>
                                        </pic:pic>
                                      </a:graphicData>
                                    </a:graphic>
                                  </wp:inline>
                                </w:drawing>
                              </w:r>
                            </w:p>
                            <w:p w:rsidR="00E322CF" w:rsidRPr="00CA2A46" w:rsidRDefault="00E322CF" w:rsidP="00E322CF">
                              <w:pPr>
                                <w:pStyle w:val="BasicParagraph"/>
                                <w:spacing w:line="240" w:lineRule="auto"/>
                                <w:jc w:val="both"/>
                                <w:rPr>
                                  <w:rFonts w:ascii="Century" w:hAnsi="Century" w:cs="Century"/>
                                  <w:caps/>
                                  <w:color w:val="000000" w:themeColor="text1"/>
                                  <w:sz w:val="20"/>
                                  <w:szCs w:val="20"/>
                                </w:rPr>
                              </w:pPr>
                              <w:r w:rsidRPr="00CA2A46">
                                <w:rPr>
                                  <w:rFonts w:ascii="Century" w:hAnsi="Century" w:cs="Century"/>
                                  <w:caps/>
                                  <w:color w:val="000000" w:themeColor="text1"/>
                                  <w:sz w:val="20"/>
                                  <w:szCs w:val="20"/>
                                </w:rPr>
                                <w:t>A mini training session for injury prevention</w:t>
                              </w:r>
                            </w:p>
                            <w:p w:rsidR="00E322CF" w:rsidRPr="00CA2A46" w:rsidRDefault="00E322CF" w:rsidP="00E322CF">
                              <w:pPr>
                                <w:pStyle w:val="BasicParagraph"/>
                                <w:spacing w:line="240" w:lineRule="auto"/>
                                <w:rPr>
                                  <w:rFonts w:ascii="ITC Avant Garde Std Md" w:hAnsi="ITC Avant Garde Std Md" w:cs="ITC Avant Garde Std Md"/>
                                  <w:b/>
                                  <w:bCs/>
                                  <w:sz w:val="94"/>
                                  <w:szCs w:val="94"/>
                                  <w14:textOutline w14:w="12700" w14:cap="rnd" w14:cmpd="sng" w14:algn="ctr">
                                    <w14:solidFill>
                                      <w14:schemeClr w14:val="tx1"/>
                                    </w14:solidFill>
                                    <w14:prstDash w14:val="solid"/>
                                    <w14:bevel/>
                                  </w14:textOutline>
                                </w:rPr>
                              </w:pPr>
                              <w:r w:rsidRPr="00C7426E">
                                <w:rPr>
                                  <w:rFonts w:ascii="ITC Avant Garde Std Md" w:hAnsi="ITC Avant Garde Std Md" w:cs="ITC Avant Garde Std Md"/>
                                  <w:b/>
                                  <w:bCs/>
                                  <w:color w:val="DEAE00"/>
                                  <w:sz w:val="94"/>
                                  <w:szCs w:val="94"/>
                                  <w14:textOutline w14:w="19050" w14:cap="rnd" w14:cmpd="sng" w14:algn="ctr">
                                    <w14:solidFill>
                                      <w14:schemeClr w14:val="tx1"/>
                                    </w14:solidFill>
                                    <w14:prstDash w14:val="solid"/>
                                    <w14:bevel/>
                                  </w14:textOutline>
                                </w:rPr>
                                <w:t>Quick Take on Safety</w:t>
                              </w:r>
                            </w:p>
                            <w:p w:rsidR="00E322CF" w:rsidRDefault="00E322CF" w:rsidP="00E322CF">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 name="Straight Connector 6"/>
                        <wps:cNvCnPr/>
                        <wps:spPr>
                          <a:xfrm>
                            <a:off x="59377" y="1935678"/>
                            <a:ext cx="685736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76D751FB" id="Group 16" o:spid="_x0000_s1026" style="position:absolute;margin-left:-4.2pt;margin-top:31.7pt;width:545.05pt;height:163.45pt;z-index:251660288;mso-position-vertical-relative:page;mso-width-relative:margin;mso-height-relative:margin" coordsize="69170,207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" o:allowincell="f">
                <v:shapetype id="_x0000_t202" coordsize="21600,21600" o:spt="202" path="m,l,21600r21600,l21600,xe">
                  <v:stroke joinstyle="miter"/>
                  <v:path gradientshapeok="t" o:connecttype="rect"/>
                </v:shapetype>
                <v:shape id="Text Box 1" o:spid="_x0000_s1027" type="#_x0000_t202" style="position:absolute;width:69170;height:207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" filled="f" stroked="f" strokeweight=".5pt">
                  <v:textbox>
                    <w:txbxContent>
                      <w:p w:rsidR="00E322CF" w:rsidRDefault="00CA2A46" w:rsidP="00E322CF">
                        <w:pPr>
                          <w:spacing w:after="360"/>
                          <w:jc w:val="center"/>
                        </w:pPr>
                        <w:r>
                          <w:rPr>
                            <w:noProof/>
                          </w:rPr>
                          <w:drawing>
                            <wp:inline distT="0" distB="0" distL="0" distR="0">
                              <wp:extent cx="2057400" cy="626349"/>
                              <wp:effectExtent l="0" t="0" r="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kWiselyLOGO_final_thickerstroke.jpg"/>
                                      <pic:cNvPicPr/>
                                    </pic:nvPicPr>
                                    <pic:blipFill rotWithShape="1">
                                      <a:blip r:embed="rId8" cstate="print">
                                        <a:extLst>
                                          <a:ext uri="{28A0092B-C50C-407E-A947-70E740481C1C}">
                                            <a14:useLocalDpi xmlns:a14="http://schemas.microsoft.com/office/drawing/2010/main" val="0"/>
                                          </a:ext>
                                        </a:extLst>
                                      </a:blip>
                                      <a:srcRect t="46639"/>
                                      <a:stretch/>
                                    </pic:blipFill>
                                    <pic:spPr bwMode="auto">
                                      <a:xfrm>
                                        <a:off x="0" y="0"/>
                                        <a:ext cx="2057400" cy="626349"/>
                                      </a:xfrm>
                                      <a:prstGeom prst="rect">
                                        <a:avLst/>
                                      </a:prstGeom>
                                      <a:ln>
                                        <a:noFill/>
                                      </a:ln>
                                      <a:extLst>
                                        <a:ext uri="{53640926-AAD7-44D8-BBD7-CCE9431645EC}">
                                          <a14:shadowObscured xmlns:a14="http://schemas.microsoft.com/office/drawing/2010/main"/>
                                        </a:ext>
                                      </a:extLst>
                                    </pic:spPr>
                                  </pic:pic>
                                </a:graphicData>
                              </a:graphic>
                            </wp:inline>
                          </w:drawing>
                        </w:r>
                      </w:p>
                      <w:p w:rsidR="00E322CF" w:rsidRPr="00CA2A46" w:rsidRDefault="00E322CF" w:rsidP="00E322CF">
                        <w:pPr>
                          <w:pStyle w:val="BasicParagraph"/>
                          <w:spacing w:line="240" w:lineRule="auto"/>
                          <w:jc w:val="both"/>
                          <w:rPr>
                            <w:rFonts w:ascii="Century" w:hAnsi="Century" w:cs="Century"/>
                            <w:caps/>
                            <w:color w:val="000000" w:themeColor="text1"/>
                            <w:sz w:val="20"/>
                            <w:szCs w:val="20"/>
                          </w:rPr>
                        </w:pPr>
                        <w:r w:rsidRPr="00CA2A46">
                          <w:rPr>
                            <w:rFonts w:ascii="Century" w:hAnsi="Century" w:cs="Century"/>
                            <w:caps/>
                            <w:color w:val="000000" w:themeColor="text1"/>
                            <w:sz w:val="20"/>
                            <w:szCs w:val="20"/>
                          </w:rPr>
                          <w:t>A mini training session for injury prevention</w:t>
                        </w:r>
                      </w:p>
                      <w:p w:rsidR="00E322CF" w:rsidRPr="00CA2A46" w:rsidRDefault="00E322CF" w:rsidP="00E322CF">
                        <w:pPr>
                          <w:pStyle w:val="BasicParagraph"/>
                          <w:spacing w:line="240" w:lineRule="auto"/>
                          <w:rPr>
                            <w:rFonts w:ascii="ITC Avant Garde Std Md" w:hAnsi="ITC Avant Garde Std Md" w:cs="ITC Avant Garde Std Md"/>
                            <w:b/>
                            <w:bCs/>
                            <w:sz w:val="94"/>
                            <w:szCs w:val="94"/>
                            <w14:textOutline w14:w="12700" w14:cap="rnd" w14:cmpd="sng" w14:algn="ctr">
                              <w14:solidFill>
                                <w14:schemeClr w14:val="tx1"/>
                              </w14:solidFill>
                              <w14:prstDash w14:val="solid"/>
                              <w14:bevel/>
                            </w14:textOutline>
                          </w:rPr>
                        </w:pPr>
                        <w:r w:rsidRPr="00C7426E">
                          <w:rPr>
                            <w:rFonts w:ascii="ITC Avant Garde Std Md" w:hAnsi="ITC Avant Garde Std Md" w:cs="ITC Avant Garde Std Md"/>
                            <w:b/>
                            <w:bCs/>
                            <w:color w:val="DEAE00"/>
                            <w:sz w:val="94"/>
                            <w:szCs w:val="94"/>
                            <w14:textOutline w14:w="19050" w14:cap="rnd" w14:cmpd="sng" w14:algn="ctr">
                              <w14:solidFill>
                                <w14:schemeClr w14:val="tx1"/>
                              </w14:solidFill>
                              <w14:prstDash w14:val="solid"/>
                              <w14:bevel/>
                            </w14:textOutline>
                          </w:rPr>
                          <w:t>Quick Take on Safety</w:t>
                        </w:r>
                      </w:p>
                      <w:p w:rsidR="00E322CF" w:rsidRDefault="00E322CF" w:rsidP="00E322CF">
                        <w:pPr>
                          <w:jc w:val="center"/>
                        </w:pPr>
                      </w:p>
                    </w:txbxContent>
                  </v:textbox>
                </v:shape>
                <v:line id="Straight Connector 6" o:spid="_x0000_s1028" style="position:absolute;visibility:visible;mso-wrap-style:square" from="593,19356" to="69167,193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" strokecolor="black [3213]" strokeweight="1pt"/>
                <w10:wrap anchory="page"/>
              </v:group>
            </w:pict>
          </mc:Fallback>
        </mc:AlternateContent>
      </w:r>
    </w:p>
    <w:p w:rsidR="005A1F9F" w:rsidRDefault="005A1F9F" w:rsidP="005A1F9F">
      <w:pPr>
        <w:tabs>
          <w:tab w:val="left" w:pos="-1260"/>
        </w:tabs>
      </w:pPr>
    </w:p>
    <w:p w:rsidR="005A1F9F" w:rsidRDefault="005A1F9F" w:rsidP="005A1F9F">
      <w:pPr>
        <w:tabs>
          <w:tab w:val="left" w:pos="-1260"/>
        </w:tabs>
      </w:pPr>
    </w:p>
    <w:p w:rsidR="005A1F9F" w:rsidRDefault="005A1F9F" w:rsidP="005A1F9F">
      <w:pPr>
        <w:tabs>
          <w:tab w:val="left" w:pos="-1260"/>
        </w:tabs>
      </w:pPr>
    </w:p>
    <w:p w:rsidR="00BE2791" w:rsidRDefault="00BE2791" w:rsidP="005A1F9F">
      <w:pPr>
        <w:tabs>
          <w:tab w:val="left" w:pos="-1260"/>
        </w:tabs>
      </w:pPr>
    </w:p>
    <w:p w:rsidR="00BE2791" w:rsidRDefault="00BE2791" w:rsidP="005A1F9F">
      <w:pPr>
        <w:tabs>
          <w:tab w:val="left" w:pos="-1260"/>
        </w:tabs>
      </w:pPr>
    </w:p>
    <w:p w:rsidR="00BE2791" w:rsidRPr="00BE2791" w:rsidRDefault="00BE2791" w:rsidP="00BE2791">
      <w:pPr>
        <w:tabs>
          <w:tab w:val="left" w:pos="-1260"/>
        </w:tabs>
        <w:spacing w:after="0"/>
        <w:rPr>
          <w:rFonts w:ascii="ITC Avant Garde Std Bk" w:hAnsi="ITC Avant Garde Std Bk"/>
          <w:sz w:val="10"/>
          <w:szCs w:val="10"/>
        </w:rPr>
      </w:pPr>
    </w:p>
    <w:p w:rsidR="00E837DB" w:rsidRPr="00EF2919" w:rsidRDefault="00C15263" w:rsidP="00BE2791">
      <w:pPr>
        <w:tabs>
          <w:tab w:val="left" w:pos="-1260"/>
        </w:tabs>
        <w:spacing w:after="0"/>
        <w:rPr>
          <w:rFonts w:ascii="ITC Avant Garde Std Bk" w:hAnsi="ITC Avant Garde Std Bk"/>
          <w:b/>
          <w:color w:val="002D62"/>
          <w:sz w:val="68"/>
          <w:szCs w:val="68"/>
        </w:rPr>
      </w:pPr>
      <w:r>
        <w:rPr>
          <w:rFonts w:ascii="ITC Avant Garde Std Bk" w:hAnsi="ITC Avant Garde Std Bk"/>
          <w:b/>
          <w:noProof/>
          <w:color w:val="000000" w:themeColor="text1"/>
          <w:sz w:val="68"/>
          <w:szCs w:val="68"/>
        </w:rPr>
        <w:t>Portable Fuel Containers</w:t>
      </w:r>
    </w:p>
    <w:p w:rsidR="00A179B0" w:rsidRPr="00A846DE" w:rsidRDefault="00A179B0" w:rsidP="00A846DE">
      <w:pPr>
        <w:shd w:val="clear" w:color="auto" w:fill="000000" w:themeFill="text1"/>
        <w:tabs>
          <w:tab w:val="left" w:pos="-1260"/>
        </w:tabs>
        <w:spacing w:after="0" w:line="240" w:lineRule="auto"/>
        <w:rPr>
          <w:rFonts w:ascii="ITC Avant Garde Std Bk" w:hAnsi="ITC Avant Garde Std Bk"/>
          <w:b/>
          <w:color w:val="FFCB0A"/>
          <w:sz w:val="21"/>
          <w:szCs w:val="21"/>
        </w:rPr>
      </w:pPr>
      <w:r w:rsidRPr="00A846DE">
        <w:rPr>
          <w:rFonts w:ascii="ITC Avant Garde Std Bk" w:hAnsi="ITC Avant Garde Std Bk"/>
          <w:b/>
          <w:color w:val="FFCB0A"/>
          <w:sz w:val="21"/>
          <w:szCs w:val="21"/>
        </w:rPr>
        <w:t>TRAINING OVERVIEW AND OBJECTIVES</w:t>
      </w:r>
    </w:p>
    <w:p w:rsidR="00C15263" w:rsidRPr="00A179B0" w:rsidRDefault="00C15263" w:rsidP="00C15263">
      <w:pPr>
        <w:tabs>
          <w:tab w:val="left" w:pos="-1260"/>
          <w:tab w:val="left" w:pos="1440"/>
        </w:tabs>
        <w:spacing w:before="120" w:after="0"/>
        <w:ind w:left="1440" w:hanging="1440"/>
        <w:rPr>
          <w:rFonts w:ascii="ITC Avant Garde Std Bk" w:hAnsi="ITC Avant Garde Std Bk"/>
          <w:color w:val="000000" w:themeColor="text1"/>
          <w:sz w:val="21"/>
          <w:szCs w:val="21"/>
        </w:rPr>
      </w:pPr>
      <w:r w:rsidRPr="00A179B0">
        <w:rPr>
          <w:rFonts w:ascii="ITC Avant Garde Std Bk" w:hAnsi="ITC Avant Garde Std Bk"/>
          <w:color w:val="000000" w:themeColor="text1"/>
          <w:sz w:val="21"/>
          <w:szCs w:val="21"/>
        </w:rPr>
        <w:t xml:space="preserve">Overview: </w:t>
      </w:r>
      <w:r>
        <w:rPr>
          <w:rFonts w:ascii="ITC Avant Garde Std Bk" w:hAnsi="ITC Avant Garde Std Bk"/>
          <w:color w:val="000000" w:themeColor="text1"/>
          <w:sz w:val="21"/>
          <w:szCs w:val="21"/>
        </w:rPr>
        <w:tab/>
      </w:r>
      <w:r>
        <w:rPr>
          <w:rFonts w:ascii="Century" w:hAnsi="Century"/>
          <w:color w:val="000000" w:themeColor="text1"/>
          <w:sz w:val="21"/>
          <w:szCs w:val="21"/>
        </w:rPr>
        <w:t>Covers approved portable fuel containers and how to use them safely.</w:t>
      </w:r>
    </w:p>
    <w:p w:rsidR="00C15263" w:rsidRPr="002A1491" w:rsidRDefault="00C15263" w:rsidP="00C15263">
      <w:pPr>
        <w:tabs>
          <w:tab w:val="left" w:pos="-1260"/>
          <w:tab w:val="left" w:pos="1440"/>
        </w:tabs>
        <w:spacing w:after="0"/>
        <w:ind w:left="1440" w:hanging="1440"/>
        <w:rPr>
          <w:rFonts w:ascii="Century" w:hAnsi="Century"/>
          <w:color w:val="000000" w:themeColor="text1"/>
          <w:sz w:val="21"/>
          <w:szCs w:val="21"/>
        </w:rPr>
      </w:pPr>
      <w:r w:rsidRPr="00A179B0">
        <w:rPr>
          <w:rFonts w:ascii="ITC Avant Garde Std Bk" w:hAnsi="ITC Avant Garde Std Bk"/>
          <w:color w:val="000000" w:themeColor="text1"/>
          <w:sz w:val="21"/>
          <w:szCs w:val="21"/>
        </w:rPr>
        <w:t xml:space="preserve">Purpose: </w:t>
      </w:r>
      <w:r>
        <w:rPr>
          <w:rFonts w:ascii="ITC Avant Garde Std Bk" w:hAnsi="ITC Avant Garde Std Bk"/>
          <w:color w:val="000000" w:themeColor="text1"/>
          <w:sz w:val="21"/>
          <w:szCs w:val="21"/>
        </w:rPr>
        <w:tab/>
      </w:r>
      <w:r>
        <w:rPr>
          <w:rFonts w:ascii="Century" w:hAnsi="Century"/>
          <w:color w:val="000000" w:themeColor="text1"/>
          <w:sz w:val="21"/>
          <w:szCs w:val="21"/>
        </w:rPr>
        <w:t>To define characteristics of approved fuel containers and how to use in a manner to prevent injuries or property damage.</w:t>
      </w:r>
    </w:p>
    <w:p w:rsidR="00C15263" w:rsidRDefault="00C15263" w:rsidP="00C15263">
      <w:pPr>
        <w:tabs>
          <w:tab w:val="left" w:pos="-1260"/>
          <w:tab w:val="left" w:pos="0"/>
          <w:tab w:val="left" w:pos="1440"/>
          <w:tab w:val="left" w:pos="1800"/>
        </w:tabs>
        <w:spacing w:after="0"/>
        <w:ind w:left="1800" w:hanging="1800"/>
        <w:rPr>
          <w:rFonts w:ascii="Century" w:hAnsi="Century"/>
          <w:i/>
          <w:color w:val="000000" w:themeColor="text1"/>
          <w:sz w:val="21"/>
          <w:szCs w:val="21"/>
        </w:rPr>
      </w:pPr>
      <w:r w:rsidRPr="00A179B0">
        <w:rPr>
          <w:rFonts w:ascii="ITC Avant Garde Std Bk" w:hAnsi="ITC Avant Garde Std Bk"/>
          <w:color w:val="000000" w:themeColor="text1"/>
          <w:sz w:val="21"/>
          <w:szCs w:val="21"/>
        </w:rPr>
        <w:t xml:space="preserve">Preparation: </w:t>
      </w:r>
      <w:r>
        <w:rPr>
          <w:rFonts w:ascii="ITC Avant Garde Std Bk" w:hAnsi="ITC Avant Garde Std Bk"/>
          <w:color w:val="000000" w:themeColor="text1"/>
          <w:sz w:val="21"/>
          <w:szCs w:val="21"/>
        </w:rPr>
        <w:tab/>
      </w:r>
      <w:r w:rsidRPr="00C15263">
        <w:rPr>
          <w:rFonts w:ascii="ITC Avant Garde Std Bk" w:hAnsi="ITC Avant Garde Std Bk"/>
          <w:color w:val="DEAE00"/>
          <w:sz w:val="21"/>
          <w:szCs w:val="21"/>
        </w:rPr>
        <w:sym w:font="Symbol" w:char="F0B7"/>
      </w:r>
      <w:r>
        <w:rPr>
          <w:rFonts w:ascii="ITC Avant Garde Std Bk" w:hAnsi="ITC Avant Garde Std Bk"/>
          <w:color w:val="000000" w:themeColor="text1"/>
          <w:sz w:val="21"/>
          <w:szCs w:val="21"/>
        </w:rPr>
        <w:tab/>
      </w:r>
      <w:r>
        <w:rPr>
          <w:rFonts w:ascii="Century" w:hAnsi="Century"/>
          <w:color w:val="000000" w:themeColor="text1"/>
          <w:sz w:val="21"/>
          <w:szCs w:val="21"/>
        </w:rPr>
        <w:t xml:space="preserve">Read and become familiar with this Quick Take. </w:t>
      </w:r>
      <w:r w:rsidRPr="007B3BE4">
        <w:rPr>
          <w:rFonts w:ascii="Century" w:hAnsi="Century"/>
          <w:i/>
          <w:color w:val="000000" w:themeColor="text1"/>
          <w:sz w:val="21"/>
          <w:szCs w:val="21"/>
        </w:rPr>
        <w:t xml:space="preserve">Change as needed to reflect procedures and personnel in your department. </w:t>
      </w:r>
    </w:p>
    <w:p w:rsidR="00C15263" w:rsidRDefault="00C15263" w:rsidP="00C15263">
      <w:pPr>
        <w:tabs>
          <w:tab w:val="left" w:pos="-1260"/>
          <w:tab w:val="left" w:pos="1440"/>
          <w:tab w:val="left" w:pos="1800"/>
        </w:tabs>
        <w:spacing w:after="0"/>
        <w:ind w:left="1800" w:hanging="1800"/>
        <w:rPr>
          <w:rFonts w:ascii="Century" w:hAnsi="Century"/>
          <w:color w:val="000000" w:themeColor="text1"/>
          <w:sz w:val="21"/>
          <w:szCs w:val="21"/>
        </w:rPr>
      </w:pPr>
      <w:r>
        <w:rPr>
          <w:rFonts w:ascii="Century" w:hAnsi="Century"/>
          <w:i/>
          <w:color w:val="000000" w:themeColor="text1"/>
          <w:sz w:val="21"/>
          <w:szCs w:val="21"/>
        </w:rPr>
        <w:tab/>
      </w:r>
      <w:r w:rsidRPr="00C15263">
        <w:rPr>
          <w:rFonts w:ascii="ITC Avant Garde Std Bk" w:hAnsi="ITC Avant Garde Std Bk"/>
          <w:color w:val="DEAE00"/>
          <w:sz w:val="21"/>
          <w:szCs w:val="21"/>
        </w:rPr>
        <w:sym w:font="Symbol" w:char="F0B7"/>
      </w:r>
      <w:r>
        <w:rPr>
          <w:rFonts w:ascii="ITC Avant Garde Std Bk" w:hAnsi="ITC Avant Garde Std Bk"/>
          <w:color w:val="000000" w:themeColor="text1"/>
          <w:sz w:val="21"/>
          <w:szCs w:val="21"/>
        </w:rPr>
        <w:tab/>
      </w:r>
      <w:r>
        <w:rPr>
          <w:rFonts w:ascii="Century" w:hAnsi="Century"/>
          <w:color w:val="000000" w:themeColor="text1"/>
          <w:sz w:val="21"/>
          <w:szCs w:val="21"/>
        </w:rPr>
        <w:t xml:space="preserve">Review current gasoline cans and replace any </w:t>
      </w:r>
      <w:proofErr w:type="spellStart"/>
      <w:r>
        <w:rPr>
          <w:rFonts w:ascii="Century" w:hAnsi="Century"/>
          <w:color w:val="000000" w:themeColor="text1"/>
          <w:sz w:val="21"/>
          <w:szCs w:val="21"/>
        </w:rPr>
        <w:t>nonapproved</w:t>
      </w:r>
      <w:proofErr w:type="spellEnd"/>
      <w:r>
        <w:rPr>
          <w:rFonts w:ascii="Century" w:hAnsi="Century"/>
          <w:color w:val="000000" w:themeColor="text1"/>
          <w:sz w:val="21"/>
          <w:szCs w:val="21"/>
        </w:rPr>
        <w:t xml:space="preserve"> safety cans with approved safety cans. </w:t>
      </w:r>
    </w:p>
    <w:p w:rsidR="00C15263" w:rsidRPr="004432AB" w:rsidRDefault="00C15263" w:rsidP="00C15263">
      <w:pPr>
        <w:tabs>
          <w:tab w:val="left" w:pos="-1260"/>
          <w:tab w:val="left" w:pos="1440"/>
          <w:tab w:val="left" w:pos="1800"/>
        </w:tabs>
        <w:spacing w:after="0"/>
        <w:ind w:left="1800" w:hanging="1800"/>
        <w:rPr>
          <w:rFonts w:ascii="ITC Avant Garde Std Bk" w:hAnsi="ITC Avant Garde Std Bk"/>
          <w:color w:val="000000" w:themeColor="text1"/>
          <w:sz w:val="21"/>
          <w:szCs w:val="21"/>
        </w:rPr>
      </w:pPr>
      <w:r>
        <w:rPr>
          <w:rFonts w:ascii="Century" w:hAnsi="Century"/>
          <w:color w:val="000000" w:themeColor="text1"/>
          <w:sz w:val="21"/>
          <w:szCs w:val="21"/>
        </w:rPr>
        <w:tab/>
      </w:r>
      <w:r w:rsidRPr="00C15263">
        <w:rPr>
          <w:rFonts w:ascii="ITC Avant Garde Std Bk" w:hAnsi="ITC Avant Garde Std Bk"/>
          <w:color w:val="DEAE00"/>
          <w:sz w:val="21"/>
          <w:szCs w:val="21"/>
        </w:rPr>
        <w:sym w:font="Symbol" w:char="F0B7"/>
      </w:r>
      <w:r>
        <w:rPr>
          <w:rFonts w:ascii="ITC Avant Garde Std Bk" w:hAnsi="ITC Avant Garde Std Bk"/>
          <w:color w:val="000000" w:themeColor="text1"/>
          <w:sz w:val="21"/>
          <w:szCs w:val="21"/>
        </w:rPr>
        <w:tab/>
      </w:r>
      <w:r>
        <w:rPr>
          <w:rFonts w:ascii="Century" w:hAnsi="Century"/>
          <w:color w:val="000000" w:themeColor="text1"/>
          <w:sz w:val="21"/>
          <w:szCs w:val="21"/>
        </w:rPr>
        <w:t xml:space="preserve">Consider bringing a gas can to demonstrate safety features. </w:t>
      </w:r>
    </w:p>
    <w:p w:rsidR="00C15263" w:rsidRDefault="00C15263" w:rsidP="00C15263">
      <w:pPr>
        <w:tabs>
          <w:tab w:val="left" w:pos="-1260"/>
          <w:tab w:val="left" w:pos="1440"/>
        </w:tabs>
        <w:spacing w:after="0"/>
        <w:ind w:left="1440" w:hanging="1440"/>
        <w:rPr>
          <w:rFonts w:ascii="Century" w:hAnsi="Century"/>
          <w:color w:val="000000" w:themeColor="text1"/>
          <w:sz w:val="21"/>
          <w:szCs w:val="21"/>
        </w:rPr>
      </w:pPr>
      <w:r w:rsidRPr="00A179B0">
        <w:rPr>
          <w:rFonts w:ascii="ITC Avant Garde Std Bk" w:hAnsi="ITC Avant Garde Std Bk"/>
          <w:color w:val="000000" w:themeColor="text1"/>
          <w:sz w:val="21"/>
          <w:szCs w:val="21"/>
        </w:rPr>
        <w:t xml:space="preserve">Handouts: </w:t>
      </w:r>
      <w:r>
        <w:rPr>
          <w:rFonts w:ascii="ITC Avant Garde Std Bk" w:hAnsi="ITC Avant Garde Std Bk"/>
          <w:color w:val="000000" w:themeColor="text1"/>
          <w:sz w:val="21"/>
          <w:szCs w:val="21"/>
        </w:rPr>
        <w:tab/>
      </w:r>
      <w:r>
        <w:rPr>
          <w:rFonts w:ascii="Century" w:hAnsi="Century"/>
          <w:color w:val="000000" w:themeColor="text1"/>
          <w:sz w:val="21"/>
          <w:szCs w:val="21"/>
        </w:rPr>
        <w:t>Quick Review of Safety—Portable Fuel Containers</w:t>
      </w:r>
    </w:p>
    <w:p w:rsidR="00C15263" w:rsidRDefault="00C15263" w:rsidP="00C15263">
      <w:pPr>
        <w:tabs>
          <w:tab w:val="left" w:pos="-1260"/>
          <w:tab w:val="left" w:pos="1440"/>
        </w:tabs>
        <w:spacing w:after="0"/>
        <w:ind w:left="1440" w:hanging="1440"/>
        <w:rPr>
          <w:rFonts w:ascii="Century" w:hAnsi="Century"/>
          <w:color w:val="000000" w:themeColor="text1"/>
          <w:sz w:val="21"/>
          <w:szCs w:val="21"/>
        </w:rPr>
      </w:pPr>
      <w:r w:rsidRPr="00675D10">
        <w:rPr>
          <w:rFonts w:ascii="ITC Avant Garde Std Bk" w:hAnsi="ITC Avant Garde Std Bk"/>
          <w:color w:val="000000" w:themeColor="text1"/>
          <w:sz w:val="21"/>
          <w:szCs w:val="21"/>
        </w:rPr>
        <w:t>Note:</w:t>
      </w:r>
      <w:r w:rsidRPr="00675D10">
        <w:rPr>
          <w:rFonts w:ascii="ITC Avant Garde Std Bk" w:hAnsi="ITC Avant Garde Std Bk"/>
          <w:color w:val="000000" w:themeColor="text1"/>
          <w:sz w:val="21"/>
          <w:szCs w:val="21"/>
        </w:rPr>
        <w:tab/>
      </w:r>
      <w:r>
        <w:rPr>
          <w:rFonts w:ascii="Century" w:hAnsi="Century"/>
          <w:color w:val="000000" w:themeColor="text1"/>
          <w:sz w:val="21"/>
          <w:szCs w:val="21"/>
        </w:rPr>
        <w:t xml:space="preserve">The Occupational Safety and Health Administration (OSHA) requires that gasoline and other flammable liquids be contained in approved safety cans when used by any business or commercial enterprise. All safety cans must: </w:t>
      </w:r>
    </w:p>
    <w:p w:rsidR="00C15263" w:rsidRDefault="00C15263" w:rsidP="00C15263">
      <w:pPr>
        <w:pStyle w:val="ListParagraph"/>
        <w:numPr>
          <w:ilvl w:val="0"/>
          <w:numId w:val="23"/>
        </w:numPr>
        <w:tabs>
          <w:tab w:val="left" w:pos="-1260"/>
          <w:tab w:val="left" w:pos="1890"/>
        </w:tabs>
        <w:spacing w:after="0"/>
        <w:rPr>
          <w:rFonts w:ascii="Century" w:hAnsi="Century"/>
          <w:color w:val="000000" w:themeColor="text1"/>
          <w:sz w:val="21"/>
          <w:szCs w:val="21"/>
        </w:rPr>
      </w:pPr>
      <w:r>
        <w:rPr>
          <w:rFonts w:ascii="Century" w:hAnsi="Century"/>
          <w:color w:val="000000" w:themeColor="text1"/>
          <w:sz w:val="21"/>
          <w:szCs w:val="21"/>
        </w:rPr>
        <w:t>Be approved by a nationally recognized testing laboratory, such as UL.</w:t>
      </w:r>
    </w:p>
    <w:p w:rsidR="00C15263" w:rsidRDefault="00C15263" w:rsidP="00C15263">
      <w:pPr>
        <w:pStyle w:val="ListParagraph"/>
        <w:numPr>
          <w:ilvl w:val="0"/>
          <w:numId w:val="23"/>
        </w:numPr>
        <w:tabs>
          <w:tab w:val="left" w:pos="-1260"/>
        </w:tabs>
        <w:spacing w:after="0"/>
        <w:rPr>
          <w:rFonts w:ascii="Century" w:hAnsi="Century"/>
          <w:color w:val="000000" w:themeColor="text1"/>
          <w:sz w:val="21"/>
          <w:szCs w:val="21"/>
        </w:rPr>
      </w:pPr>
      <w:r>
        <w:rPr>
          <w:rFonts w:ascii="Century" w:hAnsi="Century"/>
          <w:color w:val="000000" w:themeColor="text1"/>
          <w:sz w:val="21"/>
          <w:szCs w:val="21"/>
        </w:rPr>
        <w:t>Have no more than 5 gallons capacity.</w:t>
      </w:r>
    </w:p>
    <w:p w:rsidR="00C15263" w:rsidRDefault="00C15263" w:rsidP="00C15263">
      <w:pPr>
        <w:pStyle w:val="ListParagraph"/>
        <w:numPr>
          <w:ilvl w:val="0"/>
          <w:numId w:val="23"/>
        </w:numPr>
        <w:tabs>
          <w:tab w:val="left" w:pos="-1260"/>
        </w:tabs>
        <w:spacing w:after="0"/>
        <w:rPr>
          <w:rFonts w:ascii="Century" w:hAnsi="Century"/>
          <w:color w:val="000000" w:themeColor="text1"/>
          <w:sz w:val="21"/>
          <w:szCs w:val="21"/>
        </w:rPr>
      </w:pPr>
      <w:r>
        <w:rPr>
          <w:rFonts w:ascii="Century" w:hAnsi="Century"/>
          <w:color w:val="000000" w:themeColor="text1"/>
          <w:sz w:val="21"/>
          <w:szCs w:val="21"/>
        </w:rPr>
        <w:t>Have a flash-arresting screen.</w:t>
      </w:r>
    </w:p>
    <w:p w:rsidR="00C15263" w:rsidRDefault="00C15263" w:rsidP="00C15263">
      <w:pPr>
        <w:pStyle w:val="ListParagraph"/>
        <w:numPr>
          <w:ilvl w:val="0"/>
          <w:numId w:val="23"/>
        </w:numPr>
        <w:tabs>
          <w:tab w:val="left" w:pos="-1260"/>
        </w:tabs>
        <w:spacing w:after="0"/>
        <w:rPr>
          <w:rFonts w:ascii="Century" w:hAnsi="Century"/>
          <w:color w:val="000000" w:themeColor="text1"/>
          <w:sz w:val="21"/>
          <w:szCs w:val="21"/>
        </w:rPr>
      </w:pPr>
      <w:r>
        <w:rPr>
          <w:rFonts w:ascii="Century" w:hAnsi="Century"/>
          <w:color w:val="000000" w:themeColor="text1"/>
          <w:sz w:val="21"/>
          <w:szCs w:val="21"/>
        </w:rPr>
        <w:t>Have a spring-closing spout cap designed to safely relieve internal pressure when exposed to heat.</w:t>
      </w:r>
    </w:p>
    <w:p w:rsidR="00C15263" w:rsidRPr="00675D10" w:rsidRDefault="00C15263" w:rsidP="00C15263">
      <w:pPr>
        <w:tabs>
          <w:tab w:val="left" w:pos="-1260"/>
        </w:tabs>
        <w:ind w:left="1440"/>
        <w:rPr>
          <w:rFonts w:ascii="Century" w:hAnsi="Century"/>
          <w:color w:val="000000" w:themeColor="text1"/>
          <w:sz w:val="21"/>
          <w:szCs w:val="21"/>
        </w:rPr>
      </w:pPr>
      <w:r>
        <w:rPr>
          <w:rFonts w:ascii="Century" w:hAnsi="Century"/>
          <w:color w:val="000000" w:themeColor="text1"/>
          <w:sz w:val="21"/>
          <w:szCs w:val="21"/>
        </w:rPr>
        <w:t>Most of the plastic gasoline containers available are designed for residential and home use and are not suitable for the workplace.</w:t>
      </w:r>
    </w:p>
    <w:p w:rsidR="00C15263" w:rsidRPr="00C15263" w:rsidRDefault="00C15263" w:rsidP="00C15263">
      <w:pPr>
        <w:tabs>
          <w:tab w:val="left" w:pos="-1260"/>
        </w:tabs>
        <w:spacing w:after="0"/>
        <w:rPr>
          <w:rFonts w:ascii="ITC Avant Garde Std Bk Cn" w:hAnsi="ITC Avant Garde Std Bk Cn"/>
          <w:b/>
          <w:color w:val="000000" w:themeColor="text1"/>
          <w:sz w:val="21"/>
          <w:szCs w:val="21"/>
        </w:rPr>
      </w:pPr>
      <w:r w:rsidRPr="00C15263">
        <w:rPr>
          <w:rFonts w:ascii="ITC Avant Garde Std Bk Cn" w:hAnsi="ITC Avant Garde Std Bk Cn"/>
          <w:b/>
          <w:color w:val="000000" w:themeColor="text1"/>
          <w:sz w:val="21"/>
          <w:szCs w:val="21"/>
        </w:rPr>
        <w:t>Hazards</w:t>
      </w:r>
    </w:p>
    <w:p w:rsidR="00C15263" w:rsidRDefault="00C15263" w:rsidP="00C15263">
      <w:pPr>
        <w:rPr>
          <w:rFonts w:ascii="Century" w:hAnsi="Century"/>
          <w:color w:val="000000" w:themeColor="text1"/>
          <w:sz w:val="21"/>
          <w:szCs w:val="21"/>
        </w:rPr>
      </w:pPr>
      <w:r>
        <w:rPr>
          <w:rFonts w:ascii="Century" w:hAnsi="Century"/>
          <w:color w:val="000000"/>
          <w:sz w:val="21"/>
          <w:szCs w:val="21"/>
        </w:rPr>
        <w:t>Gasoline and fuel is something almost all of us use on a regular basis. We often don’t think about the hazards associated with it. Improper use can result in fires, spills or splashes leading to significant injury, pollution or property damage. For these reasons, it is important that we store and use gasoline and other flammable liquids properly.</w:t>
      </w:r>
      <w:r>
        <w:rPr>
          <w:rFonts w:ascii="Century" w:hAnsi="Century"/>
          <w:color w:val="000000" w:themeColor="text1"/>
          <w:sz w:val="21"/>
          <w:szCs w:val="21"/>
        </w:rPr>
        <w:t xml:space="preserve"> So please pay careful attention, your health and safety are important to us; we don’t want you to get hurt.</w:t>
      </w:r>
    </w:p>
    <w:p w:rsidR="00C15263" w:rsidRPr="00C15263" w:rsidRDefault="00C15263" w:rsidP="00C15263">
      <w:pPr>
        <w:tabs>
          <w:tab w:val="left" w:pos="-1260"/>
        </w:tabs>
        <w:spacing w:after="0"/>
        <w:rPr>
          <w:rFonts w:ascii="ITC Avant Garde Std Bk Cn" w:hAnsi="ITC Avant Garde Std Bk Cn"/>
          <w:b/>
          <w:color w:val="000000" w:themeColor="text1"/>
          <w:sz w:val="21"/>
          <w:szCs w:val="21"/>
        </w:rPr>
      </w:pPr>
      <w:r w:rsidRPr="00C15263">
        <w:rPr>
          <w:rFonts w:ascii="ITC Avant Garde Std Bk Cn" w:hAnsi="ITC Avant Garde Std Bk Cn"/>
          <w:b/>
          <w:color w:val="000000" w:themeColor="text1"/>
          <w:sz w:val="21"/>
          <w:szCs w:val="21"/>
        </w:rPr>
        <w:t xml:space="preserve">Portable Gas Can Refueling </w:t>
      </w:r>
    </w:p>
    <w:p w:rsidR="00C15263" w:rsidRPr="005B6F50" w:rsidRDefault="00C15263" w:rsidP="00C15263">
      <w:pPr>
        <w:tabs>
          <w:tab w:val="left" w:pos="-1260"/>
        </w:tabs>
        <w:spacing w:after="0"/>
        <w:rPr>
          <w:rFonts w:ascii="ITC Avant Garde Std Bk" w:hAnsi="ITC Avant Garde Std Bk"/>
          <w:color w:val="000000" w:themeColor="text1"/>
          <w:sz w:val="21"/>
          <w:szCs w:val="21"/>
        </w:rPr>
      </w:pPr>
      <w:r w:rsidRPr="005B6F50">
        <w:rPr>
          <w:rFonts w:ascii="Century" w:hAnsi="Century"/>
          <w:color w:val="000000" w:themeColor="text1"/>
          <w:sz w:val="21"/>
          <w:szCs w:val="21"/>
        </w:rPr>
        <w:t>[</w:t>
      </w:r>
      <w:r w:rsidRPr="00C4577A">
        <w:rPr>
          <w:rFonts w:ascii="Century" w:hAnsi="Century"/>
          <w:i/>
          <w:color w:val="000000" w:themeColor="text1"/>
          <w:sz w:val="21"/>
          <w:szCs w:val="21"/>
        </w:rPr>
        <w:t>Instructor Prompt:</w:t>
      </w:r>
      <w:r>
        <w:rPr>
          <w:rFonts w:ascii="Century" w:hAnsi="Century"/>
          <w:color w:val="000000" w:themeColor="text1"/>
          <w:sz w:val="21"/>
          <w:szCs w:val="21"/>
        </w:rPr>
        <w:t xml:space="preserve"> Consider using a gas can as a prop when talking about the following sections.]</w:t>
      </w:r>
    </w:p>
    <w:p w:rsidR="00C15263" w:rsidRPr="00603C4B" w:rsidRDefault="00C15263" w:rsidP="00C15263">
      <w:pPr>
        <w:pStyle w:val="ListParagraph"/>
        <w:numPr>
          <w:ilvl w:val="0"/>
          <w:numId w:val="22"/>
        </w:numPr>
        <w:tabs>
          <w:tab w:val="left" w:pos="-1260"/>
        </w:tabs>
        <w:rPr>
          <w:rFonts w:ascii="Century" w:hAnsi="Century"/>
          <w:color w:val="000000" w:themeColor="text1"/>
          <w:sz w:val="21"/>
          <w:szCs w:val="21"/>
        </w:rPr>
      </w:pPr>
      <w:r>
        <w:rPr>
          <w:rFonts w:ascii="Century" w:hAnsi="Century"/>
          <w:color w:val="000000" w:themeColor="text1"/>
          <w:sz w:val="21"/>
          <w:szCs w:val="21"/>
        </w:rPr>
        <w:t>Ensure the container has a functioning cap that fits well and the container is free from signs of damage or cracks.</w:t>
      </w:r>
    </w:p>
    <w:p w:rsidR="00C15263" w:rsidRDefault="00C15263" w:rsidP="00C15263">
      <w:pPr>
        <w:pStyle w:val="ListParagraph"/>
        <w:numPr>
          <w:ilvl w:val="0"/>
          <w:numId w:val="22"/>
        </w:numPr>
        <w:tabs>
          <w:tab w:val="left" w:pos="-1260"/>
        </w:tabs>
        <w:rPr>
          <w:rFonts w:ascii="Century" w:hAnsi="Century"/>
          <w:color w:val="000000" w:themeColor="text1"/>
          <w:sz w:val="21"/>
          <w:szCs w:val="21"/>
        </w:rPr>
      </w:pPr>
      <w:r>
        <w:rPr>
          <w:rFonts w:ascii="Century" w:hAnsi="Century"/>
          <w:color w:val="000000" w:themeColor="text1"/>
          <w:sz w:val="21"/>
          <w:szCs w:val="21"/>
        </w:rPr>
        <w:lastRenderedPageBreak/>
        <w:t>Place containers on the ground when filling them. Do not place them in a vehicle’s trunk, pickup bed or other surface. The insulating effects of pickup bed liners or other items can prevent static charges from grounding properly and could generate a static shock, which could ignite the gasoline vapor.</w:t>
      </w:r>
    </w:p>
    <w:p w:rsidR="00C15263" w:rsidRDefault="00C15263" w:rsidP="00C15263">
      <w:pPr>
        <w:pStyle w:val="ListParagraph"/>
        <w:numPr>
          <w:ilvl w:val="0"/>
          <w:numId w:val="22"/>
        </w:numPr>
        <w:tabs>
          <w:tab w:val="left" w:pos="-1260"/>
        </w:tabs>
        <w:rPr>
          <w:rFonts w:ascii="Century" w:hAnsi="Century"/>
          <w:color w:val="000000" w:themeColor="text1"/>
          <w:sz w:val="21"/>
          <w:szCs w:val="21"/>
        </w:rPr>
      </w:pPr>
      <w:r>
        <w:rPr>
          <w:rFonts w:ascii="Century" w:hAnsi="Century"/>
          <w:color w:val="000000" w:themeColor="text1"/>
          <w:sz w:val="21"/>
          <w:szCs w:val="21"/>
        </w:rPr>
        <w:t>Keep containers away from other people and potential ignition sources. Do not smoke when refueling gas cans.</w:t>
      </w:r>
    </w:p>
    <w:p w:rsidR="00C15263" w:rsidRDefault="00C15263" w:rsidP="00C15263">
      <w:pPr>
        <w:pStyle w:val="ListParagraph"/>
        <w:numPr>
          <w:ilvl w:val="0"/>
          <w:numId w:val="22"/>
        </w:numPr>
        <w:tabs>
          <w:tab w:val="left" w:pos="-1260"/>
        </w:tabs>
        <w:rPr>
          <w:rFonts w:ascii="Century" w:hAnsi="Century"/>
          <w:color w:val="000000" w:themeColor="text1"/>
          <w:sz w:val="21"/>
          <w:szCs w:val="21"/>
        </w:rPr>
      </w:pPr>
      <w:r>
        <w:rPr>
          <w:rFonts w:ascii="Century" w:hAnsi="Century"/>
          <w:color w:val="000000" w:themeColor="text1"/>
          <w:sz w:val="21"/>
          <w:szCs w:val="21"/>
        </w:rPr>
        <w:t xml:space="preserve">Keep the nozzle in contact with the can during filling to avoid spills and to help prevent a static discharge. </w:t>
      </w:r>
    </w:p>
    <w:p w:rsidR="00C15263" w:rsidRDefault="00C15263" w:rsidP="00C15263">
      <w:pPr>
        <w:pStyle w:val="ListParagraph"/>
        <w:numPr>
          <w:ilvl w:val="0"/>
          <w:numId w:val="22"/>
        </w:numPr>
        <w:tabs>
          <w:tab w:val="left" w:pos="-1260"/>
        </w:tabs>
        <w:rPr>
          <w:rFonts w:ascii="Century" w:hAnsi="Century"/>
          <w:color w:val="000000" w:themeColor="text1"/>
          <w:sz w:val="21"/>
          <w:szCs w:val="21"/>
        </w:rPr>
      </w:pPr>
      <w:r>
        <w:rPr>
          <w:rFonts w:ascii="Century" w:hAnsi="Century"/>
          <w:color w:val="000000" w:themeColor="text1"/>
          <w:sz w:val="21"/>
          <w:szCs w:val="21"/>
        </w:rPr>
        <w:t>Do not overfill a gas container. Leave some room at the top to allow for expansion, particularly in hot weather.</w:t>
      </w:r>
    </w:p>
    <w:p w:rsidR="00C15263" w:rsidRDefault="00C15263" w:rsidP="00C15263">
      <w:pPr>
        <w:pStyle w:val="ListParagraph"/>
        <w:numPr>
          <w:ilvl w:val="0"/>
          <w:numId w:val="22"/>
        </w:numPr>
        <w:tabs>
          <w:tab w:val="left" w:pos="-1260"/>
        </w:tabs>
        <w:rPr>
          <w:rFonts w:ascii="Century" w:hAnsi="Century"/>
          <w:color w:val="000000" w:themeColor="text1"/>
          <w:sz w:val="21"/>
          <w:szCs w:val="21"/>
        </w:rPr>
      </w:pPr>
      <w:r>
        <w:rPr>
          <w:rFonts w:ascii="Century" w:hAnsi="Century"/>
          <w:color w:val="000000" w:themeColor="text1"/>
          <w:sz w:val="21"/>
          <w:szCs w:val="21"/>
        </w:rPr>
        <w:t>Address any spills promptly with appropriate cleanup materials and personal protective equipment if necessary.</w:t>
      </w:r>
    </w:p>
    <w:p w:rsidR="00C15263" w:rsidRPr="00C15263" w:rsidRDefault="00C15263" w:rsidP="00C15263">
      <w:pPr>
        <w:tabs>
          <w:tab w:val="left" w:pos="-1260"/>
        </w:tabs>
        <w:spacing w:after="0"/>
        <w:rPr>
          <w:rFonts w:ascii="ITC Avant Garde Std Bk Cn" w:hAnsi="ITC Avant Garde Std Bk Cn"/>
          <w:b/>
          <w:color w:val="000000" w:themeColor="text1"/>
          <w:sz w:val="21"/>
          <w:szCs w:val="21"/>
        </w:rPr>
      </w:pPr>
      <w:r w:rsidRPr="00C15263">
        <w:rPr>
          <w:rFonts w:ascii="ITC Avant Garde Std Bk Cn" w:hAnsi="ITC Avant Garde Std Bk Cn"/>
          <w:b/>
          <w:color w:val="000000" w:themeColor="text1"/>
          <w:sz w:val="21"/>
          <w:szCs w:val="21"/>
        </w:rPr>
        <w:t>Equipment Refueling</w:t>
      </w:r>
    </w:p>
    <w:p w:rsidR="00C15263" w:rsidRDefault="00C15263" w:rsidP="00C15263">
      <w:pPr>
        <w:pStyle w:val="ListParagraph"/>
        <w:numPr>
          <w:ilvl w:val="0"/>
          <w:numId w:val="22"/>
        </w:numPr>
        <w:tabs>
          <w:tab w:val="left" w:pos="-1260"/>
        </w:tabs>
        <w:rPr>
          <w:rFonts w:ascii="Century" w:hAnsi="Century"/>
          <w:color w:val="000000" w:themeColor="text1"/>
          <w:sz w:val="21"/>
          <w:szCs w:val="21"/>
        </w:rPr>
      </w:pPr>
      <w:r>
        <w:rPr>
          <w:rFonts w:ascii="Century" w:hAnsi="Century"/>
          <w:color w:val="000000" w:themeColor="text1"/>
          <w:sz w:val="21"/>
          <w:szCs w:val="21"/>
        </w:rPr>
        <w:t>Turn off equipment, such as chainsaws, lawnmowers or snow blowers, and give the engine time to cool. Never refuel hot equipment.</w:t>
      </w:r>
    </w:p>
    <w:p w:rsidR="00C15263" w:rsidRDefault="00C15263" w:rsidP="00C15263">
      <w:pPr>
        <w:pStyle w:val="ListParagraph"/>
        <w:numPr>
          <w:ilvl w:val="0"/>
          <w:numId w:val="22"/>
        </w:numPr>
        <w:tabs>
          <w:tab w:val="left" w:pos="-1260"/>
        </w:tabs>
        <w:rPr>
          <w:rFonts w:ascii="Century" w:hAnsi="Century"/>
          <w:color w:val="000000" w:themeColor="text1"/>
          <w:sz w:val="21"/>
          <w:szCs w:val="21"/>
        </w:rPr>
      </w:pPr>
      <w:r>
        <w:rPr>
          <w:rFonts w:ascii="Century" w:hAnsi="Century"/>
          <w:color w:val="000000" w:themeColor="text1"/>
          <w:sz w:val="21"/>
          <w:szCs w:val="21"/>
        </w:rPr>
        <w:t>Stay away from nearby flammable materials or sources of ignition. Do not smoke while refueling equipment.</w:t>
      </w:r>
    </w:p>
    <w:p w:rsidR="00C15263" w:rsidRDefault="00C15263" w:rsidP="00C15263">
      <w:pPr>
        <w:pStyle w:val="ListParagraph"/>
        <w:numPr>
          <w:ilvl w:val="0"/>
          <w:numId w:val="22"/>
        </w:numPr>
        <w:tabs>
          <w:tab w:val="left" w:pos="-1260"/>
        </w:tabs>
        <w:rPr>
          <w:rFonts w:ascii="Century" w:hAnsi="Century"/>
          <w:color w:val="000000" w:themeColor="text1"/>
          <w:sz w:val="21"/>
          <w:szCs w:val="21"/>
        </w:rPr>
      </w:pPr>
      <w:r>
        <w:rPr>
          <w:rFonts w:ascii="Century" w:hAnsi="Century"/>
          <w:color w:val="000000" w:themeColor="text1"/>
          <w:sz w:val="21"/>
          <w:szCs w:val="21"/>
        </w:rPr>
        <w:t>Be aware of the location of nearby fire extinguishers prior to refueling.</w:t>
      </w:r>
    </w:p>
    <w:p w:rsidR="00C15263" w:rsidRDefault="00C15263" w:rsidP="00C15263">
      <w:pPr>
        <w:pStyle w:val="ListParagraph"/>
        <w:numPr>
          <w:ilvl w:val="0"/>
          <w:numId w:val="22"/>
        </w:numPr>
        <w:tabs>
          <w:tab w:val="left" w:pos="-1260"/>
        </w:tabs>
        <w:rPr>
          <w:rFonts w:ascii="Century" w:hAnsi="Century"/>
          <w:color w:val="000000" w:themeColor="text1"/>
          <w:sz w:val="21"/>
          <w:szCs w:val="21"/>
        </w:rPr>
      </w:pPr>
      <w:r>
        <w:rPr>
          <w:rFonts w:ascii="Century" w:hAnsi="Century"/>
          <w:color w:val="000000" w:themeColor="text1"/>
          <w:sz w:val="21"/>
          <w:szCs w:val="21"/>
        </w:rPr>
        <w:t>Proceed slowly to minimize the risk of spills.</w:t>
      </w:r>
    </w:p>
    <w:p w:rsidR="00C15263" w:rsidRDefault="00C15263" w:rsidP="00C15263">
      <w:pPr>
        <w:pStyle w:val="ListParagraph"/>
        <w:numPr>
          <w:ilvl w:val="0"/>
          <w:numId w:val="22"/>
        </w:numPr>
        <w:tabs>
          <w:tab w:val="left" w:pos="-1260"/>
        </w:tabs>
        <w:rPr>
          <w:rFonts w:ascii="Century" w:hAnsi="Century"/>
          <w:color w:val="000000" w:themeColor="text1"/>
          <w:sz w:val="21"/>
          <w:szCs w:val="21"/>
        </w:rPr>
      </w:pPr>
      <w:r>
        <w:rPr>
          <w:rFonts w:ascii="Century" w:hAnsi="Century"/>
          <w:color w:val="000000" w:themeColor="text1"/>
          <w:sz w:val="21"/>
          <w:szCs w:val="21"/>
        </w:rPr>
        <w:t>Do not overfill the tank. Allow room for expansion, particularly on hot days.</w:t>
      </w:r>
    </w:p>
    <w:p w:rsidR="00C15263" w:rsidRPr="00C15263" w:rsidRDefault="00C15263" w:rsidP="00C15263">
      <w:pPr>
        <w:tabs>
          <w:tab w:val="left" w:pos="-1260"/>
        </w:tabs>
        <w:spacing w:after="0"/>
        <w:rPr>
          <w:rFonts w:ascii="ITC Avant Garde Std Bk Cn" w:hAnsi="ITC Avant Garde Std Bk Cn"/>
          <w:color w:val="000000" w:themeColor="text1"/>
          <w:sz w:val="21"/>
          <w:szCs w:val="21"/>
        </w:rPr>
      </w:pPr>
      <w:r w:rsidRPr="00C15263">
        <w:rPr>
          <w:rFonts w:ascii="ITC Avant Garde Std Bk Cn" w:hAnsi="ITC Avant Garde Std Bk Cn"/>
          <w:noProof/>
          <w:color w:val="000000" w:themeColor="text1"/>
          <w:sz w:val="21"/>
          <w:szCs w:val="21"/>
        </w:rPr>
        <w:drawing>
          <wp:anchor distT="0" distB="0" distL="114300" distR="114300" simplePos="0" relativeHeight="251667456" behindDoc="0" locked="0" layoutInCell="1" allowOverlap="1" wp14:anchorId="78928002" wp14:editId="2745B960">
            <wp:simplePos x="0" y="0"/>
            <wp:positionH relativeFrom="margin">
              <wp:align>right</wp:align>
            </wp:positionH>
            <wp:positionV relativeFrom="paragraph">
              <wp:posOffset>5715</wp:posOffset>
            </wp:positionV>
            <wp:extent cx="2514600" cy="2218320"/>
            <wp:effectExtent l="0" t="0" r="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relim_barrel_final.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514600" cy="2218320"/>
                    </a:xfrm>
                    <a:prstGeom prst="rect">
                      <a:avLst/>
                    </a:prstGeom>
                  </pic:spPr>
                </pic:pic>
              </a:graphicData>
            </a:graphic>
            <wp14:sizeRelH relativeFrom="margin">
              <wp14:pctWidth>0</wp14:pctWidth>
            </wp14:sizeRelH>
            <wp14:sizeRelV relativeFrom="margin">
              <wp14:pctHeight>0</wp14:pctHeight>
            </wp14:sizeRelV>
          </wp:anchor>
        </w:drawing>
      </w:r>
      <w:r w:rsidRPr="00C15263">
        <w:rPr>
          <w:rFonts w:ascii="ITC Avant Garde Std Bk Cn" w:hAnsi="ITC Avant Garde Std Bk Cn"/>
          <w:b/>
          <w:color w:val="000000" w:themeColor="text1"/>
          <w:sz w:val="21"/>
          <w:szCs w:val="21"/>
        </w:rPr>
        <w:t>Bonding and Grounding</w:t>
      </w:r>
    </w:p>
    <w:p w:rsidR="00C15263" w:rsidRDefault="00C15263" w:rsidP="00C15263">
      <w:pPr>
        <w:tabs>
          <w:tab w:val="left" w:pos="-1260"/>
        </w:tabs>
        <w:spacing w:after="0"/>
        <w:rPr>
          <w:rFonts w:ascii="Century" w:hAnsi="Century"/>
          <w:color w:val="000000" w:themeColor="text1"/>
          <w:sz w:val="21"/>
          <w:szCs w:val="21"/>
        </w:rPr>
      </w:pPr>
      <w:r>
        <w:rPr>
          <w:rFonts w:ascii="Century" w:hAnsi="Century"/>
          <w:color w:val="000000" w:themeColor="text1"/>
          <w:sz w:val="21"/>
          <w:szCs w:val="21"/>
        </w:rPr>
        <w:t>When pumping or transferring flammables with flash points less than 100 degrees, the following bonding and grounding procedures should be observed. [</w:t>
      </w:r>
      <w:r w:rsidRPr="005764CD">
        <w:rPr>
          <w:rFonts w:ascii="Century" w:hAnsi="Century"/>
          <w:i/>
          <w:color w:val="000000" w:themeColor="text1"/>
          <w:sz w:val="21"/>
          <w:szCs w:val="21"/>
        </w:rPr>
        <w:t xml:space="preserve">Instructor </w:t>
      </w:r>
      <w:r>
        <w:rPr>
          <w:rFonts w:ascii="Century" w:hAnsi="Century"/>
          <w:i/>
          <w:color w:val="000000" w:themeColor="text1"/>
          <w:sz w:val="21"/>
          <w:szCs w:val="21"/>
        </w:rPr>
        <w:t>P</w:t>
      </w:r>
      <w:r w:rsidRPr="005764CD">
        <w:rPr>
          <w:rFonts w:ascii="Century" w:hAnsi="Century"/>
          <w:i/>
          <w:color w:val="000000" w:themeColor="text1"/>
          <w:sz w:val="21"/>
          <w:szCs w:val="21"/>
        </w:rPr>
        <w:t>rompt:</w:t>
      </w:r>
      <w:r>
        <w:rPr>
          <w:rFonts w:ascii="Century" w:hAnsi="Century"/>
          <w:color w:val="000000" w:themeColor="text1"/>
          <w:sz w:val="21"/>
          <w:szCs w:val="21"/>
        </w:rPr>
        <w:t xml:space="preserve"> Identify all flammable liquids transferred, pumped or frequently agitated at the facility and determine flash points. Consider demonstrating the following steps as you discuss them.]</w:t>
      </w:r>
      <w:r w:rsidRPr="003F10AB">
        <w:rPr>
          <w:rFonts w:ascii="Century" w:hAnsi="Century"/>
          <w:noProof/>
          <w:color w:val="000000" w:themeColor="text1"/>
          <w:sz w:val="21"/>
          <w:szCs w:val="21"/>
        </w:rPr>
        <w:t xml:space="preserve"> </w:t>
      </w:r>
    </w:p>
    <w:p w:rsidR="00C15263" w:rsidRDefault="00C15263" w:rsidP="00C15263">
      <w:pPr>
        <w:pStyle w:val="ListParagraph"/>
        <w:numPr>
          <w:ilvl w:val="0"/>
          <w:numId w:val="22"/>
        </w:numPr>
        <w:tabs>
          <w:tab w:val="left" w:pos="-1260"/>
        </w:tabs>
        <w:spacing w:after="0"/>
        <w:rPr>
          <w:rFonts w:ascii="Century" w:hAnsi="Century"/>
          <w:color w:val="000000" w:themeColor="text1"/>
          <w:sz w:val="21"/>
          <w:szCs w:val="21"/>
        </w:rPr>
      </w:pPr>
      <w:r w:rsidRPr="00675D10">
        <w:rPr>
          <w:rFonts w:ascii="Century" w:hAnsi="Century"/>
          <w:color w:val="000000" w:themeColor="text1"/>
          <w:sz w:val="21"/>
          <w:szCs w:val="21"/>
        </w:rPr>
        <w:t>Connections to bulk containers should have a metal-to-metal connection with an earth ground that uses a grounding wire.</w:t>
      </w:r>
    </w:p>
    <w:p w:rsidR="00C15263" w:rsidRDefault="00C15263" w:rsidP="00C15263">
      <w:pPr>
        <w:pStyle w:val="ListParagraph"/>
        <w:numPr>
          <w:ilvl w:val="0"/>
          <w:numId w:val="22"/>
        </w:numPr>
        <w:tabs>
          <w:tab w:val="left" w:pos="-1260"/>
        </w:tabs>
        <w:spacing w:after="0"/>
        <w:rPr>
          <w:rFonts w:ascii="Century" w:hAnsi="Century"/>
          <w:color w:val="000000" w:themeColor="text1"/>
          <w:sz w:val="21"/>
          <w:szCs w:val="21"/>
        </w:rPr>
      </w:pPr>
      <w:r w:rsidRPr="00675D10">
        <w:rPr>
          <w:rFonts w:ascii="Century" w:hAnsi="Century"/>
          <w:color w:val="000000" w:themeColor="text1"/>
          <w:sz w:val="21"/>
          <w:szCs w:val="21"/>
        </w:rPr>
        <w:t>When connecting grounding and bonding wires</w:t>
      </w:r>
      <w:r>
        <w:rPr>
          <w:rFonts w:ascii="Century" w:hAnsi="Century"/>
          <w:color w:val="000000" w:themeColor="text1"/>
          <w:sz w:val="21"/>
          <w:szCs w:val="21"/>
        </w:rPr>
        <w:t>,</w:t>
      </w:r>
      <w:r w:rsidRPr="00675D10">
        <w:rPr>
          <w:rFonts w:ascii="Century" w:hAnsi="Century"/>
          <w:color w:val="000000" w:themeColor="text1"/>
          <w:sz w:val="21"/>
          <w:szCs w:val="21"/>
        </w:rPr>
        <w:t xml:space="preserve"> confirm metal-to-metal contact.</w:t>
      </w:r>
      <w:r>
        <w:rPr>
          <w:rFonts w:ascii="Century" w:hAnsi="Century"/>
          <w:color w:val="000000" w:themeColor="text1"/>
          <w:sz w:val="21"/>
          <w:szCs w:val="21"/>
        </w:rPr>
        <w:t xml:space="preserve"> </w:t>
      </w:r>
      <w:r w:rsidRPr="00675D10">
        <w:rPr>
          <w:rFonts w:ascii="Century" w:hAnsi="Century"/>
          <w:color w:val="000000" w:themeColor="text1"/>
          <w:sz w:val="21"/>
          <w:szCs w:val="21"/>
        </w:rPr>
        <w:t>Watch out for paint or rust as this can block the flow of electrical energy.</w:t>
      </w:r>
    </w:p>
    <w:p w:rsidR="00C15263" w:rsidRDefault="00C15263" w:rsidP="00C15263">
      <w:pPr>
        <w:pStyle w:val="ListParagraph"/>
        <w:numPr>
          <w:ilvl w:val="0"/>
          <w:numId w:val="22"/>
        </w:numPr>
        <w:tabs>
          <w:tab w:val="left" w:pos="-1260"/>
        </w:tabs>
        <w:spacing w:after="0"/>
        <w:rPr>
          <w:rFonts w:ascii="Century" w:hAnsi="Century"/>
          <w:color w:val="000000" w:themeColor="text1"/>
          <w:sz w:val="21"/>
          <w:szCs w:val="21"/>
        </w:rPr>
      </w:pPr>
      <w:r w:rsidRPr="00675D10">
        <w:rPr>
          <w:rFonts w:ascii="Century" w:hAnsi="Century"/>
          <w:color w:val="000000" w:themeColor="text1"/>
          <w:sz w:val="21"/>
          <w:szCs w:val="21"/>
        </w:rPr>
        <w:t>When transferring from a bonded container to a portable safety can</w:t>
      </w:r>
      <w:r>
        <w:rPr>
          <w:rFonts w:ascii="Century" w:hAnsi="Century"/>
          <w:color w:val="000000" w:themeColor="text1"/>
          <w:sz w:val="21"/>
          <w:szCs w:val="21"/>
        </w:rPr>
        <w:t>, be sure there is</w:t>
      </w:r>
      <w:r w:rsidRPr="00675D10">
        <w:rPr>
          <w:rFonts w:ascii="Century" w:hAnsi="Century"/>
          <w:color w:val="000000" w:themeColor="text1"/>
          <w:sz w:val="21"/>
          <w:szCs w:val="21"/>
        </w:rPr>
        <w:t xml:space="preserve"> a metal-to-metal connection with a bondi</w:t>
      </w:r>
      <w:r>
        <w:rPr>
          <w:rFonts w:ascii="Century" w:hAnsi="Century"/>
          <w:color w:val="000000" w:themeColor="text1"/>
          <w:sz w:val="21"/>
          <w:szCs w:val="21"/>
        </w:rPr>
        <w:t>ng wire to the safety container</w:t>
      </w:r>
      <w:r w:rsidRPr="00675D10">
        <w:rPr>
          <w:rFonts w:ascii="Century" w:hAnsi="Century"/>
          <w:color w:val="000000" w:themeColor="text1"/>
          <w:sz w:val="21"/>
          <w:szCs w:val="21"/>
        </w:rPr>
        <w:t>.</w:t>
      </w:r>
      <w:r>
        <w:rPr>
          <w:rFonts w:ascii="Century" w:hAnsi="Century"/>
          <w:color w:val="000000" w:themeColor="text1"/>
          <w:sz w:val="21"/>
          <w:szCs w:val="21"/>
        </w:rPr>
        <w:t xml:space="preserve"> </w:t>
      </w:r>
      <w:r w:rsidRPr="00675D10">
        <w:rPr>
          <w:rFonts w:ascii="Century" w:hAnsi="Century"/>
          <w:color w:val="000000" w:themeColor="text1"/>
          <w:sz w:val="21"/>
          <w:szCs w:val="21"/>
        </w:rPr>
        <w:t>This wir</w:t>
      </w:r>
      <w:r>
        <w:rPr>
          <w:rFonts w:ascii="Century" w:hAnsi="Century"/>
          <w:color w:val="000000" w:themeColor="text1"/>
          <w:sz w:val="21"/>
          <w:szCs w:val="21"/>
        </w:rPr>
        <w:t>e is often attached with spring-</w:t>
      </w:r>
      <w:r w:rsidRPr="00675D10">
        <w:rPr>
          <w:rFonts w:ascii="Century" w:hAnsi="Century"/>
          <w:color w:val="000000" w:themeColor="text1"/>
          <w:sz w:val="21"/>
          <w:szCs w:val="21"/>
        </w:rPr>
        <w:t>type clamps.</w:t>
      </w:r>
    </w:p>
    <w:p w:rsidR="00C15263" w:rsidRDefault="00C15263" w:rsidP="00C15263">
      <w:pPr>
        <w:pStyle w:val="ListParagraph"/>
        <w:numPr>
          <w:ilvl w:val="0"/>
          <w:numId w:val="22"/>
        </w:numPr>
        <w:tabs>
          <w:tab w:val="left" w:pos="-1260"/>
        </w:tabs>
        <w:spacing w:after="0"/>
        <w:rPr>
          <w:rFonts w:ascii="Century" w:hAnsi="Century"/>
          <w:color w:val="000000" w:themeColor="text1"/>
          <w:sz w:val="21"/>
          <w:szCs w:val="21"/>
        </w:rPr>
      </w:pPr>
      <w:r w:rsidRPr="00675D10">
        <w:rPr>
          <w:rFonts w:ascii="Century" w:hAnsi="Century"/>
          <w:color w:val="000000" w:themeColor="text1"/>
          <w:sz w:val="21"/>
          <w:szCs w:val="21"/>
        </w:rPr>
        <w:t>If polyethylene containers are used</w:t>
      </w:r>
      <w:r>
        <w:rPr>
          <w:rFonts w:ascii="Century" w:hAnsi="Century"/>
          <w:color w:val="000000" w:themeColor="text1"/>
          <w:sz w:val="21"/>
          <w:szCs w:val="21"/>
        </w:rPr>
        <w:t>,</w:t>
      </w:r>
      <w:r w:rsidRPr="00675D10">
        <w:rPr>
          <w:rFonts w:ascii="Century" w:hAnsi="Century"/>
          <w:color w:val="000000" w:themeColor="text1"/>
          <w:sz w:val="21"/>
          <w:szCs w:val="21"/>
        </w:rPr>
        <w:t xml:space="preserve"> they should be grounded.</w:t>
      </w:r>
      <w:r>
        <w:rPr>
          <w:rFonts w:ascii="Century" w:hAnsi="Century"/>
          <w:color w:val="000000" w:themeColor="text1"/>
          <w:sz w:val="21"/>
          <w:szCs w:val="21"/>
        </w:rPr>
        <w:t xml:space="preserve"> </w:t>
      </w:r>
      <w:r w:rsidRPr="00675D10">
        <w:rPr>
          <w:rFonts w:ascii="Century" w:hAnsi="Century"/>
          <w:color w:val="000000" w:themeColor="text1"/>
          <w:sz w:val="21"/>
          <w:szCs w:val="21"/>
        </w:rPr>
        <w:t>Most approved polyethylene safety containers have a grounding lug for this connection. [</w:t>
      </w:r>
      <w:r w:rsidRPr="00675D10">
        <w:rPr>
          <w:rFonts w:ascii="Century" w:hAnsi="Century"/>
          <w:i/>
          <w:color w:val="000000" w:themeColor="text1"/>
          <w:sz w:val="21"/>
          <w:szCs w:val="21"/>
        </w:rPr>
        <w:t>Instr</w:t>
      </w:r>
      <w:r>
        <w:rPr>
          <w:rFonts w:ascii="Century" w:hAnsi="Century"/>
          <w:i/>
          <w:color w:val="000000" w:themeColor="text1"/>
          <w:sz w:val="21"/>
          <w:szCs w:val="21"/>
        </w:rPr>
        <w:t>uctor P</w:t>
      </w:r>
      <w:r w:rsidRPr="00675D10">
        <w:rPr>
          <w:rFonts w:ascii="Century" w:hAnsi="Century"/>
          <w:i/>
          <w:color w:val="000000" w:themeColor="text1"/>
          <w:sz w:val="21"/>
          <w:szCs w:val="21"/>
        </w:rPr>
        <w:t>rompt:</w:t>
      </w:r>
      <w:r w:rsidRPr="00675D10">
        <w:rPr>
          <w:rFonts w:ascii="Century" w:hAnsi="Century"/>
          <w:color w:val="000000" w:themeColor="text1"/>
          <w:sz w:val="21"/>
          <w:szCs w:val="21"/>
        </w:rPr>
        <w:t xml:space="preserve"> </w:t>
      </w:r>
      <w:r>
        <w:rPr>
          <w:rFonts w:ascii="Century" w:hAnsi="Century"/>
          <w:color w:val="000000" w:themeColor="text1"/>
          <w:sz w:val="21"/>
          <w:szCs w:val="21"/>
        </w:rPr>
        <w:t>I</w:t>
      </w:r>
      <w:r w:rsidRPr="00675D10">
        <w:rPr>
          <w:rFonts w:ascii="Century" w:hAnsi="Century"/>
          <w:color w:val="000000" w:themeColor="text1"/>
          <w:sz w:val="21"/>
          <w:szCs w:val="21"/>
        </w:rPr>
        <w:t>nspect and determine if polyethylene safety containers have grounding lugs and demonstrate the location.]</w:t>
      </w:r>
    </w:p>
    <w:p w:rsidR="00C15263" w:rsidRDefault="00C15263" w:rsidP="00C15263">
      <w:pPr>
        <w:pStyle w:val="ListParagraph"/>
        <w:numPr>
          <w:ilvl w:val="0"/>
          <w:numId w:val="22"/>
        </w:numPr>
        <w:tabs>
          <w:tab w:val="left" w:pos="-1260"/>
        </w:tabs>
        <w:rPr>
          <w:rFonts w:ascii="Century" w:hAnsi="Century"/>
          <w:color w:val="000000" w:themeColor="text1"/>
          <w:sz w:val="21"/>
          <w:szCs w:val="21"/>
        </w:rPr>
      </w:pPr>
      <w:r w:rsidRPr="00675D10">
        <w:rPr>
          <w:rFonts w:ascii="Century" w:hAnsi="Century"/>
          <w:color w:val="000000" w:themeColor="text1"/>
          <w:sz w:val="21"/>
          <w:szCs w:val="21"/>
        </w:rPr>
        <w:t xml:space="preserve">Periodically inspect wires and connections to ensure grounding is not interrupted. </w:t>
      </w:r>
    </w:p>
    <w:p w:rsidR="007509C0" w:rsidRPr="00C15263" w:rsidRDefault="00C15263" w:rsidP="00C15263">
      <w:pPr>
        <w:tabs>
          <w:tab w:val="left" w:pos="-1260"/>
        </w:tabs>
        <w:rPr>
          <w:rFonts w:ascii="Century" w:hAnsi="Century"/>
          <w:color w:val="000000" w:themeColor="text1"/>
          <w:sz w:val="21"/>
          <w:szCs w:val="21"/>
        </w:rPr>
      </w:pPr>
      <w:r>
        <w:rPr>
          <w:rFonts w:ascii="Century" w:hAnsi="Century"/>
          <w:color w:val="000000" w:themeColor="text1"/>
          <w:sz w:val="21"/>
          <w:szCs w:val="21"/>
        </w:rPr>
        <w:t>[</w:t>
      </w:r>
      <w:r w:rsidRPr="00C3327C">
        <w:rPr>
          <w:rFonts w:ascii="Century" w:hAnsi="Century"/>
          <w:i/>
          <w:color w:val="000000" w:themeColor="text1"/>
          <w:sz w:val="21"/>
          <w:szCs w:val="21"/>
        </w:rPr>
        <w:t>Instructor Prompt:</w:t>
      </w:r>
      <w:r>
        <w:rPr>
          <w:rFonts w:ascii="Century" w:hAnsi="Century"/>
          <w:color w:val="000000" w:themeColor="text1"/>
          <w:sz w:val="21"/>
          <w:szCs w:val="21"/>
        </w:rPr>
        <w:t xml:space="preserve"> It may be a good time now to mention the importance of consulting Safety Data Sheets when using chemicals to determine flammability or flash points, spill cleanup recommendations, required PPE, first-aid procedures and locations of safety devices, such as eyewash stations or first-aid kits.]</w:t>
      </w:r>
    </w:p>
    <w:p w:rsidR="00BF1211" w:rsidRPr="00A846DE" w:rsidRDefault="00A846DE" w:rsidP="00A846DE">
      <w:pPr>
        <w:pStyle w:val="NoSpacing"/>
        <w:shd w:val="clear" w:color="auto" w:fill="000000" w:themeFill="text1"/>
        <w:rPr>
          <w:rFonts w:ascii="ITC Avant Garde Std Bk" w:hAnsi="ITC Avant Garde Std Bk"/>
          <w:b/>
          <w:color w:val="FFCB0A"/>
          <w:sz w:val="21"/>
          <w:szCs w:val="21"/>
        </w:rPr>
      </w:pPr>
      <w:r w:rsidRPr="00A846DE">
        <w:rPr>
          <w:rFonts w:ascii="ITC Avant Garde Std Bk" w:hAnsi="ITC Avant Garde Std Bk"/>
          <w:b/>
          <w:color w:val="FFCB0A"/>
          <w:sz w:val="21"/>
          <w:szCs w:val="21"/>
        </w:rPr>
        <w:t xml:space="preserve">DISCUSSION QUESTIONS </w:t>
      </w:r>
    </w:p>
    <w:p w:rsidR="00C15263" w:rsidRDefault="00C15263" w:rsidP="00C15263">
      <w:pPr>
        <w:pStyle w:val="ListParagraph"/>
        <w:numPr>
          <w:ilvl w:val="0"/>
          <w:numId w:val="25"/>
        </w:numPr>
        <w:rPr>
          <w:rFonts w:ascii="Century" w:hAnsi="Century"/>
          <w:sz w:val="21"/>
          <w:szCs w:val="21"/>
        </w:rPr>
      </w:pPr>
      <w:r>
        <w:rPr>
          <w:rFonts w:ascii="Century" w:hAnsi="Century"/>
          <w:sz w:val="21"/>
          <w:szCs w:val="21"/>
        </w:rPr>
        <w:t>What else can we do to minimize hazards from portable gas cans?</w:t>
      </w:r>
    </w:p>
    <w:p w:rsidR="00C15263" w:rsidRDefault="00C15263" w:rsidP="00C15263">
      <w:pPr>
        <w:pStyle w:val="ListParagraph"/>
        <w:numPr>
          <w:ilvl w:val="0"/>
          <w:numId w:val="25"/>
        </w:numPr>
        <w:rPr>
          <w:rFonts w:ascii="Century" w:hAnsi="Century"/>
          <w:sz w:val="21"/>
          <w:szCs w:val="21"/>
        </w:rPr>
      </w:pPr>
      <w:r>
        <w:rPr>
          <w:rFonts w:ascii="Century" w:hAnsi="Century"/>
          <w:sz w:val="21"/>
          <w:szCs w:val="21"/>
        </w:rPr>
        <w:t>Are all of the gas cans in use approved safety cans?</w:t>
      </w:r>
    </w:p>
    <w:p w:rsidR="00BF1211" w:rsidRPr="00C15263" w:rsidRDefault="00CC6EEE" w:rsidP="00C15263">
      <w:pPr>
        <w:pStyle w:val="ListParagraph"/>
        <w:numPr>
          <w:ilvl w:val="0"/>
          <w:numId w:val="13"/>
        </w:numPr>
        <w:spacing w:before="120"/>
      </w:pPr>
      <w:bookmarkStart w:id="0" w:name="_GoBack"/>
      <w:r>
        <w:rPr>
          <w:rFonts w:ascii="ITC Avant Garde Std Bk" w:hAnsi="ITC Avant Garde Std Bk"/>
          <w:b/>
          <w:noProof/>
          <w:color w:val="000000" w:themeColor="text1"/>
          <w:sz w:val="21"/>
          <w:szCs w:val="21"/>
        </w:rPr>
        <mc:AlternateContent>
          <mc:Choice Requires="wpg">
            <w:drawing>
              <wp:anchor distT="0" distB="0" distL="114300" distR="114300" simplePos="0" relativeHeight="251669504" behindDoc="0" locked="0" layoutInCell="1" allowOverlap="1" wp14:anchorId="4F3DCF54" wp14:editId="1147B3D8">
                <wp:simplePos x="0" y="0"/>
                <wp:positionH relativeFrom="margin">
                  <wp:posOffset>-123825</wp:posOffset>
                </wp:positionH>
                <wp:positionV relativeFrom="page">
                  <wp:posOffset>9220200</wp:posOffset>
                </wp:positionV>
                <wp:extent cx="6510020" cy="485775"/>
                <wp:effectExtent l="0" t="0" r="0" b="0"/>
                <wp:wrapNone/>
                <wp:docPr id="2" name="Group 2"/>
                <wp:cNvGraphicFramePr/>
                <a:graphic xmlns:a="http://schemas.openxmlformats.org/drawingml/2006/main">
                  <a:graphicData uri="http://schemas.microsoft.com/office/word/2010/wordprocessingGroup">
                    <wpg:wgp>
                      <wpg:cNvGrpSpPr/>
                      <wpg:grpSpPr>
                        <a:xfrm>
                          <a:off x="0" y="0"/>
                          <a:ext cx="6510020" cy="485775"/>
                          <a:chOff x="0" y="0"/>
                          <a:chExt cx="6510020" cy="485775"/>
                        </a:xfrm>
                      </wpg:grpSpPr>
                      <wps:wsp>
                        <wps:cNvPr id="4" name="Text Box 4"/>
                        <wps:cNvSpPr txBox="1"/>
                        <wps:spPr>
                          <a:xfrm>
                            <a:off x="400050" y="114300"/>
                            <a:ext cx="6109970" cy="3562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C6EEE" w:rsidRDefault="00CC6EEE" w:rsidP="00CC6EEE">
                              <w:pPr>
                                <w:pStyle w:val="BasicParagraph"/>
                                <w:rPr>
                                  <w:rFonts w:ascii="ITC Avant Garde Std Bk Cn" w:hAnsi="ITC Avant Garde Std Bk Cn" w:cs="ITC Avant Garde Std Bk"/>
                                  <w:color w:val="545354"/>
                                  <w:sz w:val="15"/>
                                  <w:szCs w:val="15"/>
                                </w:rPr>
                              </w:pPr>
                              <w:r w:rsidRPr="0009302B">
                                <w:rPr>
                                  <w:rFonts w:ascii="ITC Avant Garde Std Bk Cn" w:hAnsi="ITC Avant Garde Std Bk Cn" w:cs="ITC Avant Garde Std Bk"/>
                                  <w:color w:val="545354"/>
                                  <w:sz w:val="15"/>
                                  <w:szCs w:val="15"/>
                                </w:rPr>
                                <w:t>This document is intended for general purposes only and should not be construed as legal or coverage advice on any specific matter.</w:t>
                              </w:r>
                            </w:p>
                            <w:p w:rsidR="00CC6EEE" w:rsidRPr="00A81530" w:rsidRDefault="00CC6EEE" w:rsidP="00CC6EEE">
                              <w:pPr>
                                <w:rPr>
                                  <w:rFonts w:ascii="ITC Avant Garde Std Bk Cn" w:hAnsi="ITC Avant Garde Std Bk Cn"/>
                                  <w:color w:val="545354"/>
                                  <w:sz w:val="15"/>
                                  <w:szCs w:val="15"/>
                                </w:rPr>
                              </w:pPr>
                              <w:r>
                                <w:rPr>
                                  <w:rFonts w:ascii="ITC Avant Garde Std Bk Cn" w:hAnsi="ITC Avant Garde Std Bk Cn"/>
                                  <w:color w:val="545354"/>
                                  <w:sz w:val="15"/>
                                  <w:szCs w:val="15"/>
                                </w:rPr>
                                <w:t>Developed and p</w:t>
                              </w:r>
                              <w:r w:rsidRPr="00A81530">
                                <w:rPr>
                                  <w:rFonts w:ascii="ITC Avant Garde Std Bk Cn" w:hAnsi="ITC Avant Garde Std Bk Cn"/>
                                  <w:color w:val="545354"/>
                                  <w:sz w:val="15"/>
                                  <w:szCs w:val="15"/>
                                </w:rPr>
                                <w:t>rovided by Minnesota Counties Intergovernmental Trust</w:t>
                              </w:r>
                            </w:p>
                            <w:p w:rsidR="00CC6EEE" w:rsidRPr="0009302B" w:rsidRDefault="00CC6EEE" w:rsidP="00CC6EEE">
                              <w:pPr>
                                <w:pStyle w:val="BasicParagraph"/>
                                <w:rPr>
                                  <w:rFonts w:ascii="ITC Avant Garde Std Bk Cn" w:hAnsi="ITC Avant Garde Std Bk Cn" w:cs="ITC Avant Garde Std Bk"/>
                                  <w:color w:val="545354"/>
                                  <w:sz w:val="15"/>
                                  <w:szCs w:val="15"/>
                                </w:rPr>
                              </w:pPr>
                            </w:p>
                            <w:p w:rsidR="00CC6EEE" w:rsidRDefault="00CC6EEE" w:rsidP="00CC6EE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 name="Text Box 5"/>
                        <wps:cNvSpPr txBox="1"/>
                        <wps:spPr>
                          <a:xfrm>
                            <a:off x="0" y="0"/>
                            <a:ext cx="514350" cy="485775"/>
                          </a:xfrm>
                          <a:prstGeom prst="rect">
                            <a:avLst/>
                          </a:prstGeom>
                          <a:noFill/>
                          <a:ln w="6350">
                            <a:noFill/>
                          </a:ln>
                        </wps:spPr>
                        <wps:txbx>
                          <w:txbxContent>
                            <w:p w:rsidR="00CC6EEE" w:rsidRDefault="00CC6EEE" w:rsidP="00CC6EEE">
                              <w:r>
                                <w:rPr>
                                  <w:noProof/>
                                </w:rPr>
                                <w:drawing>
                                  <wp:inline distT="0" distB="0" distL="0" distR="0" wp14:anchorId="4423D8B3" wp14:editId="2E3D29AA">
                                    <wp:extent cx="304800" cy="402424"/>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CIT_Final_BW_no_name.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09551" cy="408696"/>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4F3DCF54" id="Group 2" o:spid="_x0000_s1029" style="position:absolute;left:0;text-align:left;margin-left:-9.75pt;margin-top:726pt;width:512.6pt;height:38.25pt;z-index:251669504;mso-position-horizontal-relative:margin;mso-position-vertical-relative:page" coordsize="65100,4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">
                <v:shapetype id="_x0000_t202" coordsize="21600,21600" o:spt="202" path="m,l,21600r21600,l21600,xe">
                  <v:stroke joinstyle="miter"/>
                  <v:path gradientshapeok="t" o:connecttype="rect"/>
                </v:shapetype>
                <v:shape id="Text Box 4" o:spid="_x0000_s1030" type="#_x0000_t202" style="position:absolute;left:4000;top:1143;width:61100;height:3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" filled="f" stroked="f" strokeweight=".5pt">
                  <v:textbox>
                    <w:txbxContent>
                      <w:p w:rsidR="00CC6EEE" w:rsidRDefault="00CC6EEE" w:rsidP="00CC6EEE">
                        <w:pPr>
                          <w:pStyle w:val="BasicParagraph"/>
                          <w:rPr>
                            <w:rFonts w:ascii="ITC Avant Garde Std Bk Cn" w:hAnsi="ITC Avant Garde Std Bk Cn" w:cs="ITC Avant Garde Std Bk"/>
                            <w:color w:val="545354"/>
                            <w:sz w:val="15"/>
                            <w:szCs w:val="15"/>
                          </w:rPr>
                        </w:pPr>
                        <w:r w:rsidRPr="0009302B">
                          <w:rPr>
                            <w:rFonts w:ascii="ITC Avant Garde Std Bk Cn" w:hAnsi="ITC Avant Garde Std Bk Cn" w:cs="ITC Avant Garde Std Bk"/>
                            <w:color w:val="545354"/>
                            <w:sz w:val="15"/>
                            <w:szCs w:val="15"/>
                          </w:rPr>
                          <w:t>This document is intended for general purposes only and should not be construed as legal or coverage advice on any specific matter.</w:t>
                        </w:r>
                      </w:p>
                      <w:p w:rsidR="00CC6EEE" w:rsidRPr="00A81530" w:rsidRDefault="00CC6EEE" w:rsidP="00CC6EEE">
                        <w:pPr>
                          <w:rPr>
                            <w:rFonts w:ascii="ITC Avant Garde Std Bk Cn" w:hAnsi="ITC Avant Garde Std Bk Cn"/>
                            <w:color w:val="545354"/>
                            <w:sz w:val="15"/>
                            <w:szCs w:val="15"/>
                          </w:rPr>
                        </w:pPr>
                        <w:r>
                          <w:rPr>
                            <w:rFonts w:ascii="ITC Avant Garde Std Bk Cn" w:hAnsi="ITC Avant Garde Std Bk Cn"/>
                            <w:color w:val="545354"/>
                            <w:sz w:val="15"/>
                            <w:szCs w:val="15"/>
                          </w:rPr>
                          <w:t>Developed and p</w:t>
                        </w:r>
                        <w:r w:rsidRPr="00A81530">
                          <w:rPr>
                            <w:rFonts w:ascii="ITC Avant Garde Std Bk Cn" w:hAnsi="ITC Avant Garde Std Bk Cn"/>
                            <w:color w:val="545354"/>
                            <w:sz w:val="15"/>
                            <w:szCs w:val="15"/>
                          </w:rPr>
                          <w:t>rovided by Minnesota Counties Intergovernmental Trust</w:t>
                        </w:r>
                      </w:p>
                      <w:p w:rsidR="00CC6EEE" w:rsidRPr="0009302B" w:rsidRDefault="00CC6EEE" w:rsidP="00CC6EEE">
                        <w:pPr>
                          <w:pStyle w:val="BasicParagraph"/>
                          <w:rPr>
                            <w:rFonts w:ascii="ITC Avant Garde Std Bk Cn" w:hAnsi="ITC Avant Garde Std Bk Cn" w:cs="ITC Avant Garde Std Bk"/>
                            <w:color w:val="545354"/>
                            <w:sz w:val="15"/>
                            <w:szCs w:val="15"/>
                          </w:rPr>
                        </w:pPr>
                      </w:p>
                      <w:p w:rsidR="00CC6EEE" w:rsidRDefault="00CC6EEE" w:rsidP="00CC6EEE"/>
                    </w:txbxContent>
                  </v:textbox>
                </v:shape>
                <v:shape id="Text Box 5" o:spid="_x0000_s1031" type="#_x0000_t202" style="position:absolute;width:5143;height:4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" filled="f" stroked="f" strokeweight=".5pt">
                  <v:textbox>
                    <w:txbxContent>
                      <w:p w:rsidR="00CC6EEE" w:rsidRDefault="00CC6EEE" w:rsidP="00CC6EEE">
                        <w:r>
                          <w:rPr>
                            <w:noProof/>
                          </w:rPr>
                          <w:drawing>
                            <wp:inline distT="0" distB="0" distL="0" distR="0" wp14:anchorId="4423D8B3" wp14:editId="2E3D29AA">
                              <wp:extent cx="304800" cy="402424"/>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CIT_Final_BW_no_name.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09551" cy="408696"/>
                                      </a:xfrm>
                                      <a:prstGeom prst="rect">
                                        <a:avLst/>
                                      </a:prstGeom>
                                    </pic:spPr>
                                  </pic:pic>
                                </a:graphicData>
                              </a:graphic>
                            </wp:inline>
                          </w:drawing>
                        </w:r>
                      </w:p>
                    </w:txbxContent>
                  </v:textbox>
                </v:shape>
                <w10:wrap anchorx="margin" anchory="page"/>
              </v:group>
            </w:pict>
          </mc:Fallback>
        </mc:AlternateContent>
      </w:r>
      <w:bookmarkEnd w:id="0"/>
      <w:r w:rsidR="00C15263">
        <w:rPr>
          <w:rFonts w:ascii="Century" w:hAnsi="Century"/>
          <w:sz w:val="21"/>
          <w:szCs w:val="21"/>
        </w:rPr>
        <w:t>Which activities or flammable liquids present the greatest risks, and how can we reduce those risks?</w:t>
      </w:r>
      <w:r w:rsidR="00C15263" w:rsidRPr="00C15263">
        <w:rPr>
          <w:rFonts w:ascii="ITC Avant Garde Std Bk" w:hAnsi="ITC Avant Garde Std Bk"/>
          <w:b/>
          <w:noProof/>
          <w:color w:val="000000" w:themeColor="text1"/>
          <w:sz w:val="44"/>
          <w:szCs w:val="44"/>
        </w:rPr>
        <w:t xml:space="preserve"> </w:t>
      </w:r>
    </w:p>
    <w:p w:rsidR="00A179B0" w:rsidRPr="00196CD2" w:rsidRDefault="00D27615" w:rsidP="00196CD2">
      <w:pPr>
        <w:tabs>
          <w:tab w:val="left" w:pos="-1260"/>
        </w:tabs>
        <w:rPr>
          <w:rFonts w:ascii="ITC Avant Garde Std Bk" w:hAnsi="ITC Avant Garde Std Bk"/>
          <w:b/>
          <w:color w:val="000000" w:themeColor="text1"/>
          <w:sz w:val="21"/>
          <w:szCs w:val="21"/>
        </w:rPr>
      </w:pPr>
      <w:r>
        <w:rPr>
          <w:rFonts w:ascii="ITC Avant Garde Std Bk" w:hAnsi="ITC Avant Garde Std Bk"/>
          <w:b/>
          <w:color w:val="000000" w:themeColor="text1"/>
          <w:sz w:val="44"/>
          <w:szCs w:val="44"/>
        </w:rPr>
        <w:lastRenderedPageBreak/>
        <w:t>Portable Fuel Containers</w:t>
      </w:r>
      <w:r w:rsidR="00734B83" w:rsidRPr="00196CD2">
        <w:rPr>
          <w:rFonts w:ascii="ITC Avant Garde Std Bk" w:hAnsi="ITC Avant Garde Std Bk"/>
          <w:b/>
          <w:color w:val="000000" w:themeColor="text1"/>
          <w:sz w:val="44"/>
          <w:szCs w:val="44"/>
        </w:rPr>
        <w:t xml:space="preserve"> Session Planning and Review</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1733"/>
        <w:gridCol w:w="3947"/>
        <w:gridCol w:w="1566"/>
        <w:gridCol w:w="3554"/>
      </w:tblGrid>
      <w:tr w:rsidR="00734B83" w:rsidTr="00A872EA">
        <w:tc>
          <w:tcPr>
            <w:tcW w:w="1733" w:type="dxa"/>
            <w:tcBorders>
              <w:right w:val="nil"/>
            </w:tcBorders>
          </w:tcPr>
          <w:p w:rsidR="00734B83" w:rsidRPr="00734B83" w:rsidRDefault="00734B83" w:rsidP="00734B83">
            <w:pPr>
              <w:tabs>
                <w:tab w:val="left" w:pos="-1260"/>
              </w:tabs>
              <w:spacing w:before="120"/>
              <w:rPr>
                <w:rFonts w:ascii="ITC Avant Garde Std Bk" w:hAnsi="ITC Avant Garde Std Bk"/>
                <w:color w:val="000000" w:themeColor="text1"/>
                <w:sz w:val="21"/>
                <w:szCs w:val="21"/>
              </w:rPr>
            </w:pPr>
            <w:r w:rsidRPr="00734B83">
              <w:rPr>
                <w:rFonts w:ascii="ITC Avant Garde Std Bk" w:hAnsi="ITC Avant Garde Std Bk"/>
                <w:color w:val="000000" w:themeColor="text1"/>
                <w:sz w:val="21"/>
                <w:szCs w:val="21"/>
              </w:rPr>
              <w:t>Trainer</w:t>
            </w:r>
          </w:p>
        </w:tc>
        <w:tc>
          <w:tcPr>
            <w:tcW w:w="4053" w:type="dxa"/>
            <w:tcBorders>
              <w:top w:val="nil"/>
              <w:left w:val="nil"/>
              <w:right w:val="nil"/>
            </w:tcBorders>
          </w:tcPr>
          <w:p w:rsidR="00734B83" w:rsidRPr="00734B83" w:rsidRDefault="00734B83" w:rsidP="00734B83">
            <w:pPr>
              <w:tabs>
                <w:tab w:val="left" w:pos="-1260"/>
              </w:tabs>
              <w:spacing w:before="120"/>
              <w:rPr>
                <w:rFonts w:ascii="Century" w:hAnsi="Century"/>
                <w:color w:val="000000" w:themeColor="text1"/>
                <w:sz w:val="21"/>
                <w:szCs w:val="21"/>
              </w:rPr>
            </w:pPr>
          </w:p>
        </w:tc>
        <w:tc>
          <w:tcPr>
            <w:tcW w:w="1581" w:type="dxa"/>
            <w:tcBorders>
              <w:left w:val="nil"/>
              <w:right w:val="nil"/>
            </w:tcBorders>
          </w:tcPr>
          <w:p w:rsidR="00734B83" w:rsidRPr="00734B83" w:rsidRDefault="00A872EA" w:rsidP="00734B83">
            <w:pPr>
              <w:tabs>
                <w:tab w:val="left" w:pos="-1260"/>
              </w:tabs>
              <w:spacing w:before="120"/>
              <w:rPr>
                <w:rFonts w:ascii="ITC Avant Garde Std Bk" w:hAnsi="ITC Avant Garde Std Bk"/>
                <w:color w:val="000000" w:themeColor="text1"/>
                <w:sz w:val="21"/>
                <w:szCs w:val="21"/>
              </w:rPr>
            </w:pPr>
            <w:r>
              <w:rPr>
                <w:rFonts w:ascii="ITC Avant Garde Std Bk" w:hAnsi="ITC Avant Garde Std Bk"/>
                <w:color w:val="000000" w:themeColor="text1"/>
                <w:sz w:val="21"/>
                <w:szCs w:val="21"/>
              </w:rPr>
              <w:t>Training Date</w:t>
            </w:r>
          </w:p>
        </w:tc>
        <w:tc>
          <w:tcPr>
            <w:tcW w:w="3649" w:type="dxa"/>
            <w:tcBorders>
              <w:top w:val="nil"/>
              <w:left w:val="nil"/>
            </w:tcBorders>
          </w:tcPr>
          <w:p w:rsidR="00734B83" w:rsidRPr="00734B83" w:rsidRDefault="00734B83" w:rsidP="00734B83">
            <w:pPr>
              <w:tabs>
                <w:tab w:val="left" w:pos="-1260"/>
              </w:tabs>
              <w:spacing w:before="120"/>
              <w:rPr>
                <w:rFonts w:ascii="Century" w:hAnsi="Century"/>
                <w:color w:val="000000" w:themeColor="text1"/>
                <w:sz w:val="21"/>
                <w:szCs w:val="21"/>
              </w:rPr>
            </w:pPr>
          </w:p>
        </w:tc>
      </w:tr>
      <w:tr w:rsidR="00A872EA" w:rsidTr="00A872EA">
        <w:tc>
          <w:tcPr>
            <w:tcW w:w="1733" w:type="dxa"/>
            <w:tcBorders>
              <w:right w:val="nil"/>
            </w:tcBorders>
          </w:tcPr>
          <w:p w:rsidR="00A872EA" w:rsidRPr="00734B83" w:rsidRDefault="00A872EA" w:rsidP="00734B83">
            <w:pPr>
              <w:tabs>
                <w:tab w:val="left" w:pos="-1260"/>
              </w:tabs>
              <w:spacing w:before="120"/>
              <w:rPr>
                <w:rFonts w:ascii="ITC Avant Garde Std Bk" w:hAnsi="ITC Avant Garde Std Bk"/>
                <w:color w:val="000000" w:themeColor="text1"/>
                <w:sz w:val="21"/>
                <w:szCs w:val="21"/>
              </w:rPr>
            </w:pPr>
            <w:r>
              <w:rPr>
                <w:rFonts w:ascii="ITC Avant Garde Std Bk" w:hAnsi="ITC Avant Garde Std Bk"/>
                <w:color w:val="000000" w:themeColor="text1"/>
                <w:sz w:val="21"/>
                <w:szCs w:val="21"/>
              </w:rPr>
              <w:t>Department(s)</w:t>
            </w:r>
          </w:p>
        </w:tc>
        <w:tc>
          <w:tcPr>
            <w:tcW w:w="9283" w:type="dxa"/>
            <w:gridSpan w:val="3"/>
            <w:tcBorders>
              <w:top w:val="single" w:sz="4" w:space="0" w:color="auto"/>
              <w:left w:val="nil"/>
            </w:tcBorders>
          </w:tcPr>
          <w:p w:rsidR="00A872EA" w:rsidRPr="00734B83" w:rsidRDefault="00A872EA" w:rsidP="00734B83">
            <w:pPr>
              <w:tabs>
                <w:tab w:val="left" w:pos="-1260"/>
              </w:tabs>
              <w:spacing w:before="120"/>
              <w:rPr>
                <w:rFonts w:ascii="Century" w:hAnsi="Century"/>
                <w:color w:val="000000" w:themeColor="text1"/>
                <w:sz w:val="21"/>
                <w:szCs w:val="21"/>
              </w:rPr>
            </w:pPr>
          </w:p>
        </w:tc>
      </w:tr>
    </w:tbl>
    <w:p w:rsidR="00734B83" w:rsidRPr="00734B83" w:rsidRDefault="00734B83" w:rsidP="00A179B0">
      <w:pPr>
        <w:tabs>
          <w:tab w:val="left" w:pos="-1260"/>
        </w:tabs>
        <w:spacing w:after="0"/>
        <w:rPr>
          <w:rFonts w:ascii="ITC Avant Garde Std Bk" w:hAnsi="ITC Avant Garde Std Bk"/>
          <w:color w:val="002D62"/>
          <w:sz w:val="21"/>
          <w:szCs w:val="21"/>
        </w:rPr>
      </w:pPr>
    </w:p>
    <w:p w:rsidR="00A179B0" w:rsidRPr="00196CD2" w:rsidRDefault="003609CC" w:rsidP="00196CD2">
      <w:pPr>
        <w:shd w:val="clear" w:color="auto" w:fill="000000" w:themeFill="text1"/>
        <w:tabs>
          <w:tab w:val="left" w:pos="-1260"/>
        </w:tabs>
        <w:spacing w:after="0" w:line="240" w:lineRule="auto"/>
        <w:rPr>
          <w:rFonts w:ascii="ITC Avant Garde Std Bk" w:hAnsi="ITC Avant Garde Std Bk"/>
          <w:b/>
          <w:color w:val="FFCB0A"/>
          <w:sz w:val="21"/>
          <w:szCs w:val="21"/>
        </w:rPr>
      </w:pPr>
      <w:r w:rsidRPr="00196CD2">
        <w:rPr>
          <w:rFonts w:ascii="ITC Avant Garde Std Bk" w:hAnsi="ITC Avant Garde Std Bk"/>
          <w:b/>
          <w:color w:val="FFCB0A"/>
          <w:sz w:val="21"/>
          <w:szCs w:val="21"/>
        </w:rPr>
        <w:t>TRAINING GOALS</w:t>
      </w:r>
    </w:p>
    <w:p w:rsidR="00D27615" w:rsidRDefault="00D27615" w:rsidP="00D27615">
      <w:pPr>
        <w:pStyle w:val="ListParagraph"/>
        <w:numPr>
          <w:ilvl w:val="0"/>
          <w:numId w:val="17"/>
        </w:numPr>
        <w:tabs>
          <w:tab w:val="left" w:pos="-1260"/>
        </w:tabs>
        <w:spacing w:before="120" w:after="0"/>
        <w:rPr>
          <w:rFonts w:ascii="Century" w:hAnsi="Century"/>
          <w:color w:val="000000" w:themeColor="text1"/>
          <w:sz w:val="21"/>
          <w:szCs w:val="21"/>
        </w:rPr>
      </w:pPr>
      <w:r>
        <w:rPr>
          <w:rFonts w:ascii="Century" w:hAnsi="Century"/>
          <w:color w:val="000000" w:themeColor="text1"/>
          <w:sz w:val="21"/>
          <w:szCs w:val="21"/>
        </w:rPr>
        <w:t>Employees understand some of the hazards associated with fueling equipment or containers.</w:t>
      </w:r>
    </w:p>
    <w:p w:rsidR="00D27615" w:rsidRDefault="00D27615" w:rsidP="00D27615">
      <w:pPr>
        <w:pStyle w:val="ListParagraph"/>
        <w:numPr>
          <w:ilvl w:val="0"/>
          <w:numId w:val="17"/>
        </w:numPr>
        <w:tabs>
          <w:tab w:val="left" w:pos="-1260"/>
        </w:tabs>
        <w:spacing w:after="0"/>
        <w:rPr>
          <w:rFonts w:ascii="Century" w:hAnsi="Century"/>
          <w:color w:val="000000" w:themeColor="text1"/>
          <w:sz w:val="21"/>
          <w:szCs w:val="21"/>
        </w:rPr>
      </w:pPr>
      <w:r>
        <w:rPr>
          <w:rFonts w:ascii="Century" w:hAnsi="Century"/>
          <w:color w:val="000000" w:themeColor="text1"/>
          <w:sz w:val="21"/>
          <w:szCs w:val="21"/>
        </w:rPr>
        <w:t>Employees know how</w:t>
      </w:r>
      <w:r w:rsidRPr="00950ACB">
        <w:rPr>
          <w:rFonts w:ascii="Century" w:hAnsi="Century"/>
          <w:color w:val="000000" w:themeColor="text1"/>
          <w:sz w:val="21"/>
          <w:szCs w:val="21"/>
        </w:rPr>
        <w:t xml:space="preserve"> </w:t>
      </w:r>
      <w:r>
        <w:rPr>
          <w:rFonts w:ascii="Century" w:hAnsi="Century"/>
          <w:color w:val="000000" w:themeColor="text1"/>
          <w:sz w:val="21"/>
          <w:szCs w:val="21"/>
        </w:rPr>
        <w:t>safely to use fuel containers.</w:t>
      </w:r>
    </w:p>
    <w:p w:rsidR="007778A6" w:rsidRPr="003609CC" w:rsidRDefault="00D27615" w:rsidP="00D27615">
      <w:pPr>
        <w:pStyle w:val="ListParagraph"/>
        <w:numPr>
          <w:ilvl w:val="0"/>
          <w:numId w:val="17"/>
        </w:numPr>
        <w:tabs>
          <w:tab w:val="left" w:pos="-1260"/>
        </w:tabs>
        <w:spacing w:after="0"/>
        <w:rPr>
          <w:rFonts w:ascii="Century" w:hAnsi="Century"/>
          <w:color w:val="000000" w:themeColor="text1"/>
          <w:sz w:val="21"/>
          <w:szCs w:val="21"/>
        </w:rPr>
      </w:pPr>
      <w:r>
        <w:rPr>
          <w:rFonts w:ascii="Century" w:hAnsi="Century"/>
          <w:color w:val="000000" w:themeColor="text1"/>
          <w:sz w:val="21"/>
          <w:szCs w:val="21"/>
        </w:rPr>
        <w:t>Employees understand and practice bonding and grounding when necessary.</w:t>
      </w:r>
    </w:p>
    <w:p w:rsidR="003609CC" w:rsidRPr="00196CD2" w:rsidRDefault="003609CC" w:rsidP="00196CD2">
      <w:pPr>
        <w:shd w:val="clear" w:color="auto" w:fill="000000" w:themeFill="text1"/>
        <w:tabs>
          <w:tab w:val="left" w:pos="-1260"/>
        </w:tabs>
        <w:spacing w:before="200" w:after="0" w:line="240" w:lineRule="auto"/>
        <w:rPr>
          <w:rFonts w:ascii="ITC Avant Garde Std Bk" w:hAnsi="ITC Avant Garde Std Bk"/>
          <w:b/>
          <w:color w:val="FFCB0A"/>
          <w:sz w:val="21"/>
          <w:szCs w:val="21"/>
        </w:rPr>
      </w:pPr>
      <w:r w:rsidRPr="00196CD2">
        <w:rPr>
          <w:rFonts w:ascii="ITC Avant Garde Std Bk" w:hAnsi="ITC Avant Garde Std Bk"/>
          <w:b/>
          <w:color w:val="FFCB0A"/>
          <w:sz w:val="21"/>
          <w:szCs w:val="21"/>
        </w:rPr>
        <w:t>RESOURCES</w:t>
      </w:r>
    </w:p>
    <w:p w:rsidR="00D27615" w:rsidRPr="005B6F50" w:rsidRDefault="00D27615" w:rsidP="00D27615">
      <w:pPr>
        <w:pStyle w:val="ListParagraph"/>
        <w:numPr>
          <w:ilvl w:val="0"/>
          <w:numId w:val="18"/>
        </w:numPr>
        <w:tabs>
          <w:tab w:val="left" w:pos="-1260"/>
        </w:tabs>
        <w:spacing w:before="120" w:after="0"/>
        <w:rPr>
          <w:rFonts w:ascii="ITC Avant Garde Std Bk" w:hAnsi="ITC Avant Garde Std Bk"/>
          <w:b/>
          <w:color w:val="000000" w:themeColor="text1"/>
          <w:sz w:val="21"/>
          <w:szCs w:val="21"/>
        </w:rPr>
      </w:pPr>
      <w:r>
        <w:rPr>
          <w:rFonts w:ascii="Century" w:hAnsi="Century"/>
          <w:color w:val="000000" w:themeColor="text1"/>
          <w:sz w:val="21"/>
          <w:szCs w:val="21"/>
        </w:rPr>
        <w:t xml:space="preserve">“Public Works Loss Prevention Best Practices Guide” or “Solid Waste Management Loss Prevention Best Practices Guide”: Chapter 5 Bonding and Grounding,” </w:t>
      </w:r>
      <w:hyperlink r:id="rId11" w:history="1">
        <w:r w:rsidRPr="00950ACB">
          <w:rPr>
            <w:rStyle w:val="Hyperlink"/>
            <w:rFonts w:ascii="Century" w:hAnsi="Century"/>
            <w:color w:val="002D62"/>
            <w:sz w:val="21"/>
            <w:szCs w:val="21"/>
          </w:rPr>
          <w:t>MCIT.org</w:t>
        </w:r>
      </w:hyperlink>
    </w:p>
    <w:p w:rsidR="00D27615" w:rsidRPr="00446347" w:rsidRDefault="00D27615" w:rsidP="00D27615">
      <w:pPr>
        <w:pStyle w:val="ListParagraph"/>
        <w:numPr>
          <w:ilvl w:val="0"/>
          <w:numId w:val="18"/>
        </w:numPr>
        <w:tabs>
          <w:tab w:val="left" w:pos="-1260"/>
        </w:tabs>
        <w:spacing w:after="0"/>
        <w:rPr>
          <w:rFonts w:ascii="ITC Avant Garde Std Bk" w:hAnsi="ITC Avant Garde Std Bk"/>
          <w:b/>
          <w:color w:val="000000" w:themeColor="text1"/>
          <w:sz w:val="21"/>
          <w:szCs w:val="21"/>
        </w:rPr>
      </w:pPr>
      <w:r>
        <w:rPr>
          <w:rFonts w:ascii="Century" w:hAnsi="Century"/>
          <w:color w:val="000000" w:themeColor="text1"/>
          <w:sz w:val="21"/>
          <w:szCs w:val="21"/>
        </w:rPr>
        <w:t xml:space="preserve">Occupational Safety and Health Administration, CFR 1910.106 “Flammable Liquids,” </w:t>
      </w:r>
      <w:hyperlink r:id="rId12" w:anchor="1910.106(c)" w:history="1">
        <w:r w:rsidRPr="00950ACB">
          <w:rPr>
            <w:rStyle w:val="Hyperlink"/>
            <w:rFonts w:ascii="Century" w:hAnsi="Century"/>
            <w:color w:val="002D62"/>
            <w:sz w:val="21"/>
            <w:szCs w:val="21"/>
          </w:rPr>
          <w:t>OSHA.gov</w:t>
        </w:r>
      </w:hyperlink>
    </w:p>
    <w:p w:rsidR="00196CD2" w:rsidRPr="00196CD2" w:rsidRDefault="00D27615" w:rsidP="00D27615">
      <w:pPr>
        <w:pStyle w:val="ListParagraph"/>
        <w:numPr>
          <w:ilvl w:val="0"/>
          <w:numId w:val="18"/>
        </w:numPr>
        <w:tabs>
          <w:tab w:val="left" w:pos="-1260"/>
        </w:tabs>
        <w:spacing w:before="120" w:after="0"/>
        <w:rPr>
          <w:rFonts w:ascii="ITC Avant Garde Std Bk" w:hAnsi="ITC Avant Garde Std Bk"/>
          <w:b/>
          <w:color w:val="000000" w:themeColor="text1"/>
          <w:sz w:val="21"/>
          <w:szCs w:val="21"/>
        </w:rPr>
      </w:pPr>
      <w:r>
        <w:rPr>
          <w:rFonts w:ascii="Century" w:hAnsi="Century"/>
          <w:color w:val="000000" w:themeColor="text1"/>
          <w:sz w:val="21"/>
          <w:szCs w:val="21"/>
        </w:rPr>
        <w:t xml:space="preserve">Minnesota State Fire Code, </w:t>
      </w:r>
      <w:hyperlink r:id="rId13" w:history="1">
        <w:r w:rsidRPr="00950ACB">
          <w:rPr>
            <w:rStyle w:val="Hyperlink"/>
            <w:rFonts w:ascii="Century" w:hAnsi="Century"/>
            <w:color w:val="002D62"/>
            <w:sz w:val="21"/>
            <w:szCs w:val="21"/>
          </w:rPr>
          <w:t>DPS.MN.gov</w:t>
        </w:r>
      </w:hyperlink>
    </w:p>
    <w:p w:rsidR="003609CC" w:rsidRPr="00196CD2" w:rsidRDefault="003609CC" w:rsidP="00196CD2">
      <w:pPr>
        <w:shd w:val="clear" w:color="auto" w:fill="000000" w:themeFill="text1"/>
        <w:tabs>
          <w:tab w:val="left" w:pos="-1260"/>
        </w:tabs>
        <w:spacing w:before="200" w:after="0" w:line="240" w:lineRule="auto"/>
        <w:rPr>
          <w:rFonts w:ascii="ITC Avant Garde Std Bk" w:hAnsi="ITC Avant Garde Std Bk"/>
          <w:b/>
          <w:color w:val="FFCB0A"/>
          <w:sz w:val="21"/>
          <w:szCs w:val="21"/>
        </w:rPr>
      </w:pPr>
      <w:r w:rsidRPr="00196CD2">
        <w:rPr>
          <w:rFonts w:ascii="ITC Avant Garde Std Bk" w:hAnsi="ITC Avant Garde Std Bk"/>
          <w:b/>
          <w:color w:val="FFCB0A"/>
          <w:sz w:val="21"/>
          <w:szCs w:val="21"/>
        </w:rPr>
        <w:t>REVIEW</w:t>
      </w:r>
    </w:p>
    <w:p w:rsidR="003609CC" w:rsidRPr="003609CC" w:rsidRDefault="003609CC" w:rsidP="00196CD2">
      <w:pPr>
        <w:tabs>
          <w:tab w:val="left" w:pos="-1260"/>
        </w:tabs>
        <w:spacing w:before="120" w:after="2000"/>
        <w:rPr>
          <w:rFonts w:ascii="ITC Avant Garde Std Bk" w:hAnsi="ITC Avant Garde Std Bk"/>
          <w:color w:val="000000" w:themeColor="text1"/>
          <w:sz w:val="21"/>
          <w:szCs w:val="21"/>
        </w:rPr>
      </w:pPr>
      <w:r w:rsidRPr="003609CC">
        <w:rPr>
          <w:rFonts w:ascii="ITC Avant Garde Std Bk" w:hAnsi="ITC Avant Garde Std Bk"/>
          <w:color w:val="000000" w:themeColor="text1"/>
          <w:sz w:val="21"/>
          <w:szCs w:val="21"/>
        </w:rPr>
        <w:t>Did the training meet the stated goals?</w:t>
      </w:r>
    </w:p>
    <w:p w:rsidR="003609CC" w:rsidRPr="003609CC" w:rsidRDefault="003609CC" w:rsidP="00667850">
      <w:pPr>
        <w:tabs>
          <w:tab w:val="left" w:pos="-1260"/>
        </w:tabs>
        <w:spacing w:after="2000"/>
        <w:rPr>
          <w:rFonts w:ascii="ITC Avant Garde Std Bk" w:hAnsi="ITC Avant Garde Std Bk"/>
          <w:color w:val="000000" w:themeColor="text1"/>
          <w:sz w:val="21"/>
          <w:szCs w:val="21"/>
        </w:rPr>
      </w:pPr>
      <w:r w:rsidRPr="003609CC">
        <w:rPr>
          <w:rFonts w:ascii="ITC Avant Garde Std Bk" w:hAnsi="ITC Avant Garde Std Bk"/>
          <w:color w:val="000000" w:themeColor="text1"/>
          <w:sz w:val="21"/>
          <w:szCs w:val="21"/>
        </w:rPr>
        <w:t>How can the training be improved?</w:t>
      </w:r>
    </w:p>
    <w:p w:rsidR="00D9647B" w:rsidRPr="00196CD2" w:rsidRDefault="00D9647B" w:rsidP="00196CD2">
      <w:pPr>
        <w:shd w:val="clear" w:color="auto" w:fill="000000" w:themeFill="text1"/>
        <w:tabs>
          <w:tab w:val="left" w:pos="-1260"/>
        </w:tabs>
        <w:spacing w:before="200" w:after="0" w:line="240" w:lineRule="auto"/>
        <w:rPr>
          <w:rFonts w:ascii="ITC Avant Garde Std Bk" w:hAnsi="ITC Avant Garde Std Bk"/>
          <w:b/>
          <w:color w:val="FFCB0A"/>
          <w:sz w:val="21"/>
          <w:szCs w:val="21"/>
        </w:rPr>
      </w:pPr>
      <w:r w:rsidRPr="00196CD2">
        <w:rPr>
          <w:rFonts w:ascii="ITC Avant Garde Std Bk" w:hAnsi="ITC Avant Garde Std Bk"/>
          <w:b/>
          <w:color w:val="FFCB0A"/>
          <w:sz w:val="21"/>
          <w:szCs w:val="21"/>
        </w:rPr>
        <w:t>TRAINER COMMENTS</w:t>
      </w:r>
    </w:p>
    <w:p w:rsidR="00D9647B" w:rsidRDefault="00D9647B" w:rsidP="00D9647B">
      <w:pPr>
        <w:tabs>
          <w:tab w:val="left" w:pos="-1260"/>
        </w:tabs>
        <w:spacing w:after="0"/>
        <w:rPr>
          <w:rFonts w:ascii="Century" w:hAnsi="Century"/>
          <w:color w:val="000000" w:themeColor="text1"/>
          <w:sz w:val="21"/>
          <w:szCs w:val="21"/>
        </w:rPr>
      </w:pPr>
      <w:r>
        <w:rPr>
          <w:rFonts w:ascii="Century" w:hAnsi="Century"/>
          <w:color w:val="000000" w:themeColor="text1"/>
          <w:sz w:val="21"/>
          <w:szCs w:val="21"/>
        </w:rPr>
        <w:br w:type="page"/>
      </w:r>
    </w:p>
    <w:p w:rsidR="00D9647B" w:rsidRPr="00942831" w:rsidRDefault="00D9647B" w:rsidP="00D9647B">
      <w:pPr>
        <w:tabs>
          <w:tab w:val="left" w:pos="-1260"/>
        </w:tabs>
        <w:spacing w:after="0"/>
        <w:rPr>
          <w:rFonts w:ascii="ITC Avant Garde Std Bk" w:hAnsi="ITC Avant Garde Std Bk"/>
          <w:b/>
          <w:color w:val="000000" w:themeColor="text1"/>
          <w:sz w:val="44"/>
          <w:szCs w:val="44"/>
        </w:rPr>
      </w:pPr>
      <w:r w:rsidRPr="00942831">
        <w:rPr>
          <w:rFonts w:ascii="ITC Avant Garde Std Bk" w:hAnsi="ITC Avant Garde Std Bk"/>
          <w:b/>
          <w:color w:val="000000" w:themeColor="text1"/>
          <w:sz w:val="44"/>
          <w:szCs w:val="44"/>
        </w:rPr>
        <w:t>Attendance Record</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1886"/>
        <w:gridCol w:w="3514"/>
        <w:gridCol w:w="1605"/>
        <w:gridCol w:w="3795"/>
      </w:tblGrid>
      <w:tr w:rsidR="00D9647B" w:rsidTr="00D9647B">
        <w:trPr>
          <w:trHeight w:val="432"/>
        </w:trPr>
        <w:tc>
          <w:tcPr>
            <w:tcW w:w="1908" w:type="dxa"/>
            <w:tcBorders>
              <w:right w:val="nil"/>
            </w:tcBorders>
            <w:vAlign w:val="center"/>
          </w:tcPr>
          <w:p w:rsidR="00D9647B" w:rsidRPr="00734B83" w:rsidRDefault="00D9647B" w:rsidP="00D9647B">
            <w:pPr>
              <w:tabs>
                <w:tab w:val="left" w:pos="-1260"/>
              </w:tabs>
              <w:spacing w:before="120"/>
              <w:rPr>
                <w:rFonts w:ascii="ITC Avant Garde Std Bk" w:hAnsi="ITC Avant Garde Std Bk"/>
                <w:color w:val="000000" w:themeColor="text1"/>
                <w:sz w:val="21"/>
                <w:szCs w:val="21"/>
              </w:rPr>
            </w:pPr>
            <w:r>
              <w:rPr>
                <w:rFonts w:ascii="ITC Avant Garde Std Bk" w:hAnsi="ITC Avant Garde Std Bk"/>
                <w:color w:val="000000" w:themeColor="text1"/>
                <w:sz w:val="21"/>
                <w:szCs w:val="21"/>
              </w:rPr>
              <w:t>Training Session</w:t>
            </w:r>
          </w:p>
        </w:tc>
        <w:tc>
          <w:tcPr>
            <w:tcW w:w="9108" w:type="dxa"/>
            <w:gridSpan w:val="3"/>
            <w:tcBorders>
              <w:top w:val="nil"/>
              <w:left w:val="nil"/>
            </w:tcBorders>
            <w:vAlign w:val="center"/>
          </w:tcPr>
          <w:p w:rsidR="00D9647B" w:rsidRPr="00734B83" w:rsidRDefault="00D27615" w:rsidP="00D9647B">
            <w:pPr>
              <w:tabs>
                <w:tab w:val="left" w:pos="-1260"/>
              </w:tabs>
              <w:spacing w:before="120"/>
              <w:rPr>
                <w:rFonts w:ascii="Century" w:hAnsi="Century"/>
                <w:color w:val="000000" w:themeColor="text1"/>
                <w:sz w:val="21"/>
                <w:szCs w:val="21"/>
              </w:rPr>
            </w:pPr>
            <w:r>
              <w:rPr>
                <w:rFonts w:ascii="Century" w:hAnsi="Century"/>
                <w:color w:val="000000" w:themeColor="text1"/>
                <w:sz w:val="21"/>
                <w:szCs w:val="21"/>
              </w:rPr>
              <w:t>Portable Fuel Containers</w:t>
            </w:r>
          </w:p>
        </w:tc>
      </w:tr>
      <w:tr w:rsidR="00D9647B" w:rsidTr="00D9647B">
        <w:trPr>
          <w:trHeight w:val="413"/>
        </w:trPr>
        <w:tc>
          <w:tcPr>
            <w:tcW w:w="1908" w:type="dxa"/>
            <w:tcBorders>
              <w:right w:val="nil"/>
            </w:tcBorders>
            <w:vAlign w:val="center"/>
          </w:tcPr>
          <w:p w:rsidR="00D9647B" w:rsidRPr="00734B83" w:rsidRDefault="00D9647B" w:rsidP="00D9647B">
            <w:pPr>
              <w:tabs>
                <w:tab w:val="left" w:pos="-1260"/>
              </w:tabs>
              <w:spacing w:before="120"/>
              <w:rPr>
                <w:rFonts w:ascii="ITC Avant Garde Std Bk" w:hAnsi="ITC Avant Garde Std Bk"/>
                <w:color w:val="000000" w:themeColor="text1"/>
                <w:sz w:val="21"/>
                <w:szCs w:val="21"/>
              </w:rPr>
            </w:pPr>
            <w:r>
              <w:rPr>
                <w:rFonts w:ascii="ITC Avant Garde Std Bk" w:hAnsi="ITC Avant Garde Std Bk"/>
                <w:color w:val="000000" w:themeColor="text1"/>
                <w:sz w:val="21"/>
                <w:szCs w:val="21"/>
              </w:rPr>
              <w:t>Trainer</w:t>
            </w:r>
          </w:p>
        </w:tc>
        <w:tc>
          <w:tcPr>
            <w:tcW w:w="3600" w:type="dxa"/>
            <w:tcBorders>
              <w:top w:val="single" w:sz="4" w:space="0" w:color="auto"/>
              <w:left w:val="nil"/>
              <w:right w:val="nil"/>
            </w:tcBorders>
            <w:vAlign w:val="center"/>
          </w:tcPr>
          <w:p w:rsidR="00D9647B" w:rsidRPr="00734B83" w:rsidRDefault="00D9647B" w:rsidP="00D9647B">
            <w:pPr>
              <w:tabs>
                <w:tab w:val="left" w:pos="-1260"/>
              </w:tabs>
              <w:spacing w:before="120"/>
              <w:rPr>
                <w:rFonts w:ascii="Century" w:hAnsi="Century"/>
                <w:color w:val="000000" w:themeColor="text1"/>
                <w:sz w:val="21"/>
                <w:szCs w:val="21"/>
              </w:rPr>
            </w:pPr>
          </w:p>
        </w:tc>
        <w:tc>
          <w:tcPr>
            <w:tcW w:w="1620" w:type="dxa"/>
            <w:tcBorders>
              <w:left w:val="nil"/>
              <w:right w:val="nil"/>
            </w:tcBorders>
            <w:vAlign w:val="center"/>
          </w:tcPr>
          <w:p w:rsidR="00D9647B" w:rsidRPr="00734B83" w:rsidRDefault="00D9647B" w:rsidP="00D9647B">
            <w:pPr>
              <w:tabs>
                <w:tab w:val="left" w:pos="-1260"/>
              </w:tabs>
              <w:spacing w:before="120"/>
              <w:rPr>
                <w:rFonts w:ascii="ITC Avant Garde Std Bk" w:hAnsi="ITC Avant Garde Std Bk"/>
                <w:color w:val="000000" w:themeColor="text1"/>
                <w:sz w:val="21"/>
                <w:szCs w:val="21"/>
              </w:rPr>
            </w:pPr>
            <w:r>
              <w:rPr>
                <w:rFonts w:ascii="ITC Avant Garde Std Bk" w:hAnsi="ITC Avant Garde Std Bk"/>
                <w:color w:val="000000" w:themeColor="text1"/>
                <w:sz w:val="21"/>
                <w:szCs w:val="21"/>
              </w:rPr>
              <w:t>Training Date</w:t>
            </w:r>
          </w:p>
        </w:tc>
        <w:tc>
          <w:tcPr>
            <w:tcW w:w="3888" w:type="dxa"/>
            <w:tcBorders>
              <w:top w:val="single" w:sz="4" w:space="0" w:color="auto"/>
              <w:left w:val="nil"/>
            </w:tcBorders>
            <w:vAlign w:val="center"/>
          </w:tcPr>
          <w:p w:rsidR="00D9647B" w:rsidRPr="00734B83" w:rsidRDefault="00D9647B" w:rsidP="00D9647B">
            <w:pPr>
              <w:tabs>
                <w:tab w:val="left" w:pos="-1260"/>
              </w:tabs>
              <w:spacing w:before="120"/>
              <w:rPr>
                <w:rFonts w:ascii="Century" w:hAnsi="Century"/>
                <w:color w:val="000000" w:themeColor="text1"/>
                <w:sz w:val="21"/>
                <w:szCs w:val="21"/>
              </w:rPr>
            </w:pPr>
          </w:p>
        </w:tc>
      </w:tr>
    </w:tbl>
    <w:p w:rsidR="00D9647B" w:rsidRDefault="00D9647B" w:rsidP="00D9647B">
      <w:pPr>
        <w:tabs>
          <w:tab w:val="left" w:pos="-1260"/>
        </w:tabs>
        <w:spacing w:after="0"/>
        <w:rPr>
          <w:rFonts w:ascii="Century" w:hAnsi="Century"/>
          <w:color w:val="000000" w:themeColor="text1"/>
          <w:sz w:val="21"/>
          <w:szCs w:val="21"/>
        </w:rPr>
      </w:pPr>
    </w:p>
    <w:tbl>
      <w:tblPr>
        <w:tblStyle w:val="TableGrid"/>
        <w:tblW w:w="0" w:type="auto"/>
        <w:tblLook w:val="04A0" w:firstRow="1" w:lastRow="0" w:firstColumn="1" w:lastColumn="0" w:noHBand="0" w:noVBand="1"/>
      </w:tblPr>
      <w:tblGrid>
        <w:gridCol w:w="5395"/>
        <w:gridCol w:w="5395"/>
      </w:tblGrid>
      <w:tr w:rsidR="00D9647B" w:rsidRPr="00D9647B" w:rsidTr="00942831">
        <w:trPr>
          <w:trHeight w:val="341"/>
        </w:trPr>
        <w:tc>
          <w:tcPr>
            <w:tcW w:w="5508" w:type="dxa"/>
            <w:tcBorders>
              <w:right w:val="single" w:sz="4" w:space="0" w:color="FFFFFF" w:themeColor="background1"/>
            </w:tcBorders>
            <w:shd w:val="clear" w:color="auto" w:fill="000000" w:themeFill="text1"/>
            <w:vAlign w:val="center"/>
          </w:tcPr>
          <w:p w:rsidR="00D9647B" w:rsidRPr="00942831" w:rsidRDefault="00D9647B" w:rsidP="00942831">
            <w:pPr>
              <w:tabs>
                <w:tab w:val="left" w:pos="-1260"/>
              </w:tabs>
              <w:rPr>
                <w:rFonts w:ascii="ITC Avant Garde Std Bk" w:hAnsi="ITC Avant Garde Std Bk"/>
                <w:b/>
                <w:color w:val="FFCB0A"/>
                <w:sz w:val="21"/>
                <w:szCs w:val="21"/>
              </w:rPr>
            </w:pPr>
            <w:r w:rsidRPr="00942831">
              <w:rPr>
                <w:rFonts w:ascii="ITC Avant Garde Std Bk" w:hAnsi="ITC Avant Garde Std Bk"/>
                <w:b/>
                <w:color w:val="FFCB0A"/>
                <w:sz w:val="21"/>
                <w:szCs w:val="21"/>
              </w:rPr>
              <w:t>Participant Name (printed)</w:t>
            </w:r>
          </w:p>
        </w:tc>
        <w:tc>
          <w:tcPr>
            <w:tcW w:w="5508" w:type="dxa"/>
            <w:tcBorders>
              <w:left w:val="single" w:sz="4" w:space="0" w:color="FFFFFF" w:themeColor="background1"/>
            </w:tcBorders>
            <w:shd w:val="clear" w:color="auto" w:fill="000000" w:themeFill="text1"/>
            <w:vAlign w:val="center"/>
          </w:tcPr>
          <w:p w:rsidR="00D9647B" w:rsidRPr="00D9647B" w:rsidRDefault="00D9647B" w:rsidP="00942831">
            <w:pPr>
              <w:tabs>
                <w:tab w:val="left" w:pos="-1260"/>
              </w:tabs>
              <w:rPr>
                <w:rFonts w:ascii="ITC Avant Garde Std Bk" w:hAnsi="ITC Avant Garde Std Bk"/>
                <w:b/>
                <w:color w:val="000000" w:themeColor="text1"/>
                <w:sz w:val="21"/>
                <w:szCs w:val="21"/>
              </w:rPr>
            </w:pPr>
            <w:r w:rsidRPr="00942831">
              <w:rPr>
                <w:rFonts w:ascii="ITC Avant Garde Std Bk" w:hAnsi="ITC Avant Garde Std Bk"/>
                <w:b/>
                <w:color w:val="FFCB0A"/>
                <w:sz w:val="21"/>
                <w:szCs w:val="21"/>
              </w:rPr>
              <w:t>Participant Signature</w:t>
            </w: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bl>
    <w:p w:rsidR="00D9647B" w:rsidRPr="00BE2791" w:rsidRDefault="00D9647B" w:rsidP="00D9647B">
      <w:pPr>
        <w:tabs>
          <w:tab w:val="left" w:pos="-1260"/>
        </w:tabs>
        <w:spacing w:after="0"/>
        <w:rPr>
          <w:rFonts w:ascii="Century" w:hAnsi="Century"/>
          <w:color w:val="000000" w:themeColor="text1"/>
          <w:sz w:val="21"/>
          <w:szCs w:val="21"/>
        </w:rPr>
      </w:pPr>
    </w:p>
    <w:sectPr w:rsidR="00D9647B" w:rsidRPr="00BE2791" w:rsidSect="00E322CF">
      <w:footerReference w:type="default" r:id="rId1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5263" w:rsidRDefault="00C15263" w:rsidP="005A1F9F">
      <w:pPr>
        <w:spacing w:after="0" w:line="240" w:lineRule="auto"/>
      </w:pPr>
      <w:r>
        <w:separator/>
      </w:r>
    </w:p>
  </w:endnote>
  <w:endnote w:type="continuationSeparator" w:id="0">
    <w:p w:rsidR="00C15263" w:rsidRDefault="00C15263" w:rsidP="005A1F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w:panose1 w:val="02040503050306020203"/>
    <w:charset w:val="00"/>
    <w:family w:val="roman"/>
    <w:notTrueType/>
    <w:pitch w:val="variable"/>
    <w:sig w:usb0="60000287" w:usb1="00000001" w:usb2="00000000" w:usb3="00000000" w:csb0="0000019F" w:csb1="00000000"/>
  </w:font>
  <w:font w:name="Century">
    <w:panose1 w:val="02040604050505020304"/>
    <w:charset w:val="00"/>
    <w:family w:val="roman"/>
    <w:pitch w:val="variable"/>
    <w:sig w:usb0="00000287" w:usb1="00000000" w:usb2="00000000" w:usb3="00000000" w:csb0="0000009F" w:csb1="00000000"/>
  </w:font>
  <w:font w:name="ITC Avant Garde Std Md">
    <w:panose1 w:val="020B0602020202020204"/>
    <w:charset w:val="00"/>
    <w:family w:val="swiss"/>
    <w:notTrueType/>
    <w:pitch w:val="variable"/>
    <w:sig w:usb0="00000003" w:usb1="00000000" w:usb2="00000000" w:usb3="00000000" w:csb0="00000001" w:csb1="00000000"/>
  </w:font>
  <w:font w:name="ITC Avant Garde Std Bk">
    <w:panose1 w:val="020B0502020202020204"/>
    <w:charset w:val="00"/>
    <w:family w:val="swiss"/>
    <w:notTrueType/>
    <w:pitch w:val="variable"/>
    <w:sig w:usb0="00000003" w:usb1="00000000" w:usb2="00000000" w:usb3="00000000" w:csb0="00000001" w:csb1="00000000"/>
  </w:font>
  <w:font w:name="ITC Avant Garde Std Bk Cn">
    <w:altName w:val="Arial Narrow"/>
    <w:panose1 w:val="020B0406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6655772"/>
      <w:docPartObj>
        <w:docPartGallery w:val="Page Numbers (Bottom of Page)"/>
        <w:docPartUnique/>
      </w:docPartObj>
    </w:sdtPr>
    <w:sdtEndPr>
      <w:rPr>
        <w:rFonts w:ascii="ITC Avant Garde Std Bk" w:hAnsi="ITC Avant Garde Std Bk"/>
        <w:noProof/>
        <w:sz w:val="16"/>
        <w:szCs w:val="16"/>
      </w:rPr>
    </w:sdtEndPr>
    <w:sdtContent>
      <w:p w:rsidR="005A1F9F" w:rsidRPr="005A1F9F" w:rsidRDefault="005A1F9F">
        <w:pPr>
          <w:pStyle w:val="Footer"/>
          <w:jc w:val="right"/>
          <w:rPr>
            <w:rFonts w:ascii="ITC Avant Garde Std Bk" w:hAnsi="ITC Avant Garde Std Bk"/>
            <w:sz w:val="16"/>
            <w:szCs w:val="16"/>
          </w:rPr>
        </w:pPr>
        <w:r w:rsidRPr="005A1F9F">
          <w:rPr>
            <w:rFonts w:ascii="ITC Avant Garde Std Bk" w:hAnsi="ITC Avant Garde Std Bk"/>
            <w:sz w:val="16"/>
            <w:szCs w:val="16"/>
          </w:rPr>
          <w:fldChar w:fldCharType="begin"/>
        </w:r>
        <w:r w:rsidRPr="005A1F9F">
          <w:rPr>
            <w:rFonts w:ascii="ITC Avant Garde Std Bk" w:hAnsi="ITC Avant Garde Std Bk"/>
            <w:sz w:val="16"/>
            <w:szCs w:val="16"/>
          </w:rPr>
          <w:instrText xml:space="preserve"> PAGE   \* MERGEFORMAT </w:instrText>
        </w:r>
        <w:r w:rsidRPr="005A1F9F">
          <w:rPr>
            <w:rFonts w:ascii="ITC Avant Garde Std Bk" w:hAnsi="ITC Avant Garde Std Bk"/>
            <w:sz w:val="16"/>
            <w:szCs w:val="16"/>
          </w:rPr>
          <w:fldChar w:fldCharType="separate"/>
        </w:r>
        <w:r w:rsidR="00CC6EEE">
          <w:rPr>
            <w:rFonts w:ascii="ITC Avant Garde Std Bk" w:hAnsi="ITC Avant Garde Std Bk"/>
            <w:noProof/>
            <w:sz w:val="16"/>
            <w:szCs w:val="16"/>
          </w:rPr>
          <w:t>4</w:t>
        </w:r>
        <w:r w:rsidRPr="005A1F9F">
          <w:rPr>
            <w:rFonts w:ascii="ITC Avant Garde Std Bk" w:hAnsi="ITC Avant Garde Std Bk"/>
            <w:noProof/>
            <w:sz w:val="16"/>
            <w:szCs w:val="16"/>
          </w:rPr>
          <w:fldChar w:fldCharType="end"/>
        </w:r>
        <w:r w:rsidRPr="005A1F9F">
          <w:rPr>
            <w:rFonts w:ascii="ITC Avant Garde Std Bk" w:hAnsi="ITC Avant Garde Std Bk"/>
            <w:noProof/>
            <w:sz w:val="16"/>
            <w:szCs w:val="16"/>
          </w:rPr>
          <w:t xml:space="preserve"> of </w:t>
        </w:r>
        <w:r w:rsidRPr="005A1F9F">
          <w:rPr>
            <w:rFonts w:ascii="ITC Avant Garde Std Bk" w:hAnsi="ITC Avant Garde Std Bk"/>
            <w:noProof/>
            <w:sz w:val="16"/>
            <w:szCs w:val="16"/>
          </w:rPr>
          <w:fldChar w:fldCharType="begin"/>
        </w:r>
        <w:r w:rsidRPr="005A1F9F">
          <w:rPr>
            <w:rFonts w:ascii="ITC Avant Garde Std Bk" w:hAnsi="ITC Avant Garde Std Bk"/>
            <w:noProof/>
            <w:sz w:val="16"/>
            <w:szCs w:val="16"/>
          </w:rPr>
          <w:instrText xml:space="preserve"> NUMPAGES   \* MERGEFORMAT </w:instrText>
        </w:r>
        <w:r w:rsidRPr="005A1F9F">
          <w:rPr>
            <w:rFonts w:ascii="ITC Avant Garde Std Bk" w:hAnsi="ITC Avant Garde Std Bk"/>
            <w:noProof/>
            <w:sz w:val="16"/>
            <w:szCs w:val="16"/>
          </w:rPr>
          <w:fldChar w:fldCharType="separate"/>
        </w:r>
        <w:r w:rsidR="00CC6EEE">
          <w:rPr>
            <w:rFonts w:ascii="ITC Avant Garde Std Bk" w:hAnsi="ITC Avant Garde Std Bk"/>
            <w:noProof/>
            <w:sz w:val="16"/>
            <w:szCs w:val="16"/>
          </w:rPr>
          <w:t>4</w:t>
        </w:r>
        <w:r w:rsidRPr="005A1F9F">
          <w:rPr>
            <w:rFonts w:ascii="ITC Avant Garde Std Bk" w:hAnsi="ITC Avant Garde Std Bk"/>
            <w:noProof/>
            <w:sz w:val="16"/>
            <w:szCs w:val="16"/>
          </w:rPr>
          <w:fldChar w:fldCharType="end"/>
        </w:r>
      </w:p>
    </w:sdtContent>
  </w:sdt>
  <w:p w:rsidR="005A1F9F" w:rsidRDefault="005A1F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5263" w:rsidRDefault="00C15263" w:rsidP="005A1F9F">
      <w:pPr>
        <w:spacing w:after="0" w:line="240" w:lineRule="auto"/>
      </w:pPr>
      <w:r>
        <w:separator/>
      </w:r>
    </w:p>
  </w:footnote>
  <w:footnote w:type="continuationSeparator" w:id="0">
    <w:p w:rsidR="00C15263" w:rsidRDefault="00C15263" w:rsidP="005A1F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E5B4E"/>
    <w:multiLevelType w:val="hybridMultilevel"/>
    <w:tmpl w:val="19066382"/>
    <w:lvl w:ilvl="0" w:tplc="28D848D6">
      <w:start w:val="1"/>
      <w:numFmt w:val="bullet"/>
      <w:lvlText w:val=""/>
      <w:lvlJc w:val="left"/>
      <w:pPr>
        <w:ind w:left="360" w:hanging="360"/>
      </w:pPr>
      <w:rPr>
        <w:rFonts w:ascii="Symbol" w:hAnsi="Symbol" w:hint="default"/>
        <w:color w:val="DEAE0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1F70F84"/>
    <w:multiLevelType w:val="hybridMultilevel"/>
    <w:tmpl w:val="BC0000A8"/>
    <w:lvl w:ilvl="0" w:tplc="28D848D6">
      <w:start w:val="1"/>
      <w:numFmt w:val="bullet"/>
      <w:lvlText w:val=""/>
      <w:lvlJc w:val="left"/>
      <w:pPr>
        <w:ind w:left="1800" w:hanging="360"/>
      </w:pPr>
      <w:rPr>
        <w:rFonts w:ascii="Symbol" w:hAnsi="Symbol" w:hint="default"/>
        <w:color w:val="DEAE00"/>
        <w:sz w:val="20"/>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2216863"/>
    <w:multiLevelType w:val="hybridMultilevel"/>
    <w:tmpl w:val="D18096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3016A94"/>
    <w:multiLevelType w:val="hybridMultilevel"/>
    <w:tmpl w:val="036CA3D4"/>
    <w:lvl w:ilvl="0" w:tplc="28D848D6">
      <w:start w:val="1"/>
      <w:numFmt w:val="bullet"/>
      <w:lvlText w:val=""/>
      <w:lvlJc w:val="left"/>
      <w:pPr>
        <w:ind w:left="360" w:hanging="360"/>
      </w:pPr>
      <w:rPr>
        <w:rFonts w:ascii="Symbol" w:hAnsi="Symbol" w:hint="default"/>
        <w:color w:val="DEAE0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5B94480"/>
    <w:multiLevelType w:val="hybridMultilevel"/>
    <w:tmpl w:val="545EEAA6"/>
    <w:lvl w:ilvl="0" w:tplc="28D848D6">
      <w:start w:val="1"/>
      <w:numFmt w:val="bullet"/>
      <w:lvlText w:val=""/>
      <w:lvlJc w:val="left"/>
      <w:pPr>
        <w:ind w:left="360" w:hanging="360"/>
      </w:pPr>
      <w:rPr>
        <w:rFonts w:ascii="Symbol" w:hAnsi="Symbol" w:hint="default"/>
        <w:color w:val="DEAE0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A405D02"/>
    <w:multiLevelType w:val="hybridMultilevel"/>
    <w:tmpl w:val="D21C18DC"/>
    <w:lvl w:ilvl="0" w:tplc="28D848D6">
      <w:start w:val="1"/>
      <w:numFmt w:val="bullet"/>
      <w:lvlText w:val=""/>
      <w:lvlJc w:val="left"/>
      <w:pPr>
        <w:ind w:left="360" w:hanging="360"/>
      </w:pPr>
      <w:rPr>
        <w:rFonts w:ascii="Symbol" w:hAnsi="Symbol" w:hint="default"/>
        <w:color w:val="DEAE0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E2E3390"/>
    <w:multiLevelType w:val="hybridMultilevel"/>
    <w:tmpl w:val="98EE52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4083738"/>
    <w:multiLevelType w:val="hybridMultilevel"/>
    <w:tmpl w:val="50AC6E84"/>
    <w:lvl w:ilvl="0" w:tplc="5606A718">
      <w:start w:val="1"/>
      <w:numFmt w:val="bullet"/>
      <w:lvlText w:val=""/>
      <w:lvlJc w:val="left"/>
      <w:pPr>
        <w:ind w:left="360" w:hanging="360"/>
      </w:pPr>
      <w:rPr>
        <w:rFonts w:ascii="Symbol" w:hAnsi="Symbol" w:hint="default"/>
        <w:color w:val="005FAE"/>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4757C7F"/>
    <w:multiLevelType w:val="hybridMultilevel"/>
    <w:tmpl w:val="C9507C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822795A"/>
    <w:multiLevelType w:val="hybridMultilevel"/>
    <w:tmpl w:val="6244363C"/>
    <w:lvl w:ilvl="0" w:tplc="28D848D6">
      <w:start w:val="1"/>
      <w:numFmt w:val="bullet"/>
      <w:lvlText w:val=""/>
      <w:lvlJc w:val="left"/>
      <w:pPr>
        <w:ind w:left="360" w:hanging="360"/>
      </w:pPr>
      <w:rPr>
        <w:rFonts w:ascii="Symbol" w:hAnsi="Symbol" w:hint="default"/>
        <w:color w:val="DEAE0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9F75CA9"/>
    <w:multiLevelType w:val="hybridMultilevel"/>
    <w:tmpl w:val="0366AD9C"/>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3F475E4"/>
    <w:multiLevelType w:val="hybridMultilevel"/>
    <w:tmpl w:val="ECEC9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300A26"/>
    <w:multiLevelType w:val="hybridMultilevel"/>
    <w:tmpl w:val="084A73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09F0999"/>
    <w:multiLevelType w:val="hybridMultilevel"/>
    <w:tmpl w:val="D29EA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915660E"/>
    <w:multiLevelType w:val="hybridMultilevel"/>
    <w:tmpl w:val="EEDE4A2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4F4138C6"/>
    <w:multiLevelType w:val="hybridMultilevel"/>
    <w:tmpl w:val="65FE34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4C41DEC"/>
    <w:multiLevelType w:val="hybridMultilevel"/>
    <w:tmpl w:val="552AA61E"/>
    <w:lvl w:ilvl="0" w:tplc="28D848D6">
      <w:start w:val="1"/>
      <w:numFmt w:val="bullet"/>
      <w:lvlText w:val=""/>
      <w:lvlJc w:val="left"/>
      <w:pPr>
        <w:ind w:left="360" w:hanging="360"/>
      </w:pPr>
      <w:rPr>
        <w:rFonts w:ascii="Symbol" w:hAnsi="Symbol" w:hint="default"/>
        <w:color w:val="DEAE0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636D1AEA"/>
    <w:multiLevelType w:val="hybridMultilevel"/>
    <w:tmpl w:val="55BA46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8C4057F"/>
    <w:multiLevelType w:val="hybridMultilevel"/>
    <w:tmpl w:val="090EA502"/>
    <w:lvl w:ilvl="0" w:tplc="28D848D6">
      <w:start w:val="1"/>
      <w:numFmt w:val="bullet"/>
      <w:lvlText w:val=""/>
      <w:lvlJc w:val="left"/>
      <w:pPr>
        <w:ind w:left="360" w:hanging="360"/>
      </w:pPr>
      <w:rPr>
        <w:rFonts w:ascii="Symbol" w:hAnsi="Symbol" w:hint="default"/>
        <w:color w:val="DEAE0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CCC0ECC"/>
    <w:multiLevelType w:val="hybridMultilevel"/>
    <w:tmpl w:val="A85C84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E7F46F4"/>
    <w:multiLevelType w:val="hybridMultilevel"/>
    <w:tmpl w:val="99B661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6EB13A7B"/>
    <w:multiLevelType w:val="hybridMultilevel"/>
    <w:tmpl w:val="6A18AEB0"/>
    <w:lvl w:ilvl="0" w:tplc="5606A718">
      <w:start w:val="1"/>
      <w:numFmt w:val="bullet"/>
      <w:lvlText w:val=""/>
      <w:lvlJc w:val="left"/>
      <w:pPr>
        <w:ind w:left="360" w:hanging="360"/>
      </w:pPr>
      <w:rPr>
        <w:rFonts w:ascii="Symbol" w:hAnsi="Symbol" w:hint="default"/>
        <w:color w:val="005FAE"/>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2090C13"/>
    <w:multiLevelType w:val="hybridMultilevel"/>
    <w:tmpl w:val="B91C0D82"/>
    <w:lvl w:ilvl="0" w:tplc="28D848D6">
      <w:start w:val="1"/>
      <w:numFmt w:val="bullet"/>
      <w:lvlText w:val=""/>
      <w:lvlJc w:val="left"/>
      <w:pPr>
        <w:ind w:left="360" w:hanging="360"/>
      </w:pPr>
      <w:rPr>
        <w:rFonts w:ascii="Symbol" w:hAnsi="Symbol" w:hint="default"/>
        <w:color w:val="DEAE0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723D6596"/>
    <w:multiLevelType w:val="hybridMultilevel"/>
    <w:tmpl w:val="FE4669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76EF7655"/>
    <w:multiLevelType w:val="hybridMultilevel"/>
    <w:tmpl w:val="BDFABC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6"/>
  </w:num>
  <w:num w:numId="3">
    <w:abstractNumId w:val="13"/>
  </w:num>
  <w:num w:numId="4">
    <w:abstractNumId w:val="11"/>
  </w:num>
  <w:num w:numId="5">
    <w:abstractNumId w:val="15"/>
  </w:num>
  <w:num w:numId="6">
    <w:abstractNumId w:val="8"/>
  </w:num>
  <w:num w:numId="7">
    <w:abstractNumId w:val="19"/>
  </w:num>
  <w:num w:numId="8">
    <w:abstractNumId w:val="24"/>
  </w:num>
  <w:num w:numId="9">
    <w:abstractNumId w:val="23"/>
  </w:num>
  <w:num w:numId="10">
    <w:abstractNumId w:val="21"/>
  </w:num>
  <w:num w:numId="11">
    <w:abstractNumId w:val="7"/>
  </w:num>
  <w:num w:numId="12">
    <w:abstractNumId w:val="16"/>
  </w:num>
  <w:num w:numId="13">
    <w:abstractNumId w:val="0"/>
  </w:num>
  <w:num w:numId="14">
    <w:abstractNumId w:val="18"/>
  </w:num>
  <w:num w:numId="15">
    <w:abstractNumId w:val="5"/>
  </w:num>
  <w:num w:numId="16">
    <w:abstractNumId w:val="10"/>
  </w:num>
  <w:num w:numId="17">
    <w:abstractNumId w:val="4"/>
  </w:num>
  <w:num w:numId="18">
    <w:abstractNumId w:val="9"/>
  </w:num>
  <w:num w:numId="19">
    <w:abstractNumId w:val="12"/>
  </w:num>
  <w:num w:numId="20">
    <w:abstractNumId w:val="14"/>
  </w:num>
  <w:num w:numId="21">
    <w:abstractNumId w:val="17"/>
  </w:num>
  <w:num w:numId="22">
    <w:abstractNumId w:val="3"/>
  </w:num>
  <w:num w:numId="23">
    <w:abstractNumId w:val="1"/>
  </w:num>
  <w:num w:numId="24">
    <w:abstractNumId w:val="20"/>
  </w:num>
  <w:num w:numId="2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5263"/>
    <w:rsid w:val="000562D6"/>
    <w:rsid w:val="00075B0A"/>
    <w:rsid w:val="0012234E"/>
    <w:rsid w:val="0014263D"/>
    <w:rsid w:val="001468D7"/>
    <w:rsid w:val="00194834"/>
    <w:rsid w:val="00196CD2"/>
    <w:rsid w:val="001F51E7"/>
    <w:rsid w:val="0022317F"/>
    <w:rsid w:val="00250CB2"/>
    <w:rsid w:val="002B2C15"/>
    <w:rsid w:val="002E5D26"/>
    <w:rsid w:val="00317BBF"/>
    <w:rsid w:val="003609CC"/>
    <w:rsid w:val="003E1DE3"/>
    <w:rsid w:val="003E49C4"/>
    <w:rsid w:val="003F1879"/>
    <w:rsid w:val="00421B10"/>
    <w:rsid w:val="004A6BC7"/>
    <w:rsid w:val="00500554"/>
    <w:rsid w:val="005367B9"/>
    <w:rsid w:val="005A1F9F"/>
    <w:rsid w:val="005E6120"/>
    <w:rsid w:val="005F4CEE"/>
    <w:rsid w:val="00642C04"/>
    <w:rsid w:val="0064615F"/>
    <w:rsid w:val="00656FD9"/>
    <w:rsid w:val="0066701C"/>
    <w:rsid w:val="00667850"/>
    <w:rsid w:val="00675695"/>
    <w:rsid w:val="006C30DB"/>
    <w:rsid w:val="006E0B2B"/>
    <w:rsid w:val="00734B83"/>
    <w:rsid w:val="007509C0"/>
    <w:rsid w:val="00754999"/>
    <w:rsid w:val="00771BBB"/>
    <w:rsid w:val="007778A6"/>
    <w:rsid w:val="007D1059"/>
    <w:rsid w:val="007D1166"/>
    <w:rsid w:val="007F7D9C"/>
    <w:rsid w:val="0081142B"/>
    <w:rsid w:val="00826753"/>
    <w:rsid w:val="00885AFE"/>
    <w:rsid w:val="008B7D7D"/>
    <w:rsid w:val="008D43FF"/>
    <w:rsid w:val="008D59BE"/>
    <w:rsid w:val="0091281A"/>
    <w:rsid w:val="00942831"/>
    <w:rsid w:val="00954434"/>
    <w:rsid w:val="00A179B0"/>
    <w:rsid w:val="00A81530"/>
    <w:rsid w:val="00A846DE"/>
    <w:rsid w:val="00A86B37"/>
    <w:rsid w:val="00A872EA"/>
    <w:rsid w:val="00A97312"/>
    <w:rsid w:val="00B1218A"/>
    <w:rsid w:val="00B52916"/>
    <w:rsid w:val="00BB43F9"/>
    <w:rsid w:val="00BD3371"/>
    <w:rsid w:val="00BE2791"/>
    <w:rsid w:val="00BE3CAB"/>
    <w:rsid w:val="00BF1211"/>
    <w:rsid w:val="00BF6B50"/>
    <w:rsid w:val="00C15263"/>
    <w:rsid w:val="00C177BF"/>
    <w:rsid w:val="00C452FC"/>
    <w:rsid w:val="00C7426E"/>
    <w:rsid w:val="00C81E24"/>
    <w:rsid w:val="00C956C4"/>
    <w:rsid w:val="00CA2A46"/>
    <w:rsid w:val="00CC6EEE"/>
    <w:rsid w:val="00CE4207"/>
    <w:rsid w:val="00D077C4"/>
    <w:rsid w:val="00D118C9"/>
    <w:rsid w:val="00D27615"/>
    <w:rsid w:val="00D35EE1"/>
    <w:rsid w:val="00D4185D"/>
    <w:rsid w:val="00D670EC"/>
    <w:rsid w:val="00D9647B"/>
    <w:rsid w:val="00E26613"/>
    <w:rsid w:val="00E322CF"/>
    <w:rsid w:val="00E450C3"/>
    <w:rsid w:val="00E837DB"/>
    <w:rsid w:val="00E9115F"/>
    <w:rsid w:val="00EF2919"/>
    <w:rsid w:val="00F30E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65270966-2DC2-4268-A02C-72D3DEFEA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322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22CF"/>
    <w:rPr>
      <w:rFonts w:ascii="Tahoma" w:hAnsi="Tahoma" w:cs="Tahoma"/>
      <w:sz w:val="16"/>
      <w:szCs w:val="16"/>
    </w:rPr>
  </w:style>
  <w:style w:type="paragraph" w:customStyle="1" w:styleId="BasicParagraph">
    <w:name w:val="[Basic Paragraph]"/>
    <w:basedOn w:val="Normal"/>
    <w:uiPriority w:val="99"/>
    <w:rsid w:val="00E322CF"/>
    <w:pPr>
      <w:autoSpaceDE w:val="0"/>
      <w:autoSpaceDN w:val="0"/>
      <w:adjustRightInd w:val="0"/>
      <w:spacing w:after="0" w:line="288" w:lineRule="auto"/>
      <w:textAlignment w:val="center"/>
    </w:pPr>
    <w:rPr>
      <w:rFonts w:ascii="Minion Pro" w:hAnsi="Minion Pro" w:cs="Minion Pro"/>
      <w:color w:val="000000"/>
      <w:sz w:val="24"/>
      <w:szCs w:val="24"/>
    </w:rPr>
  </w:style>
  <w:style w:type="paragraph" w:styleId="Header">
    <w:name w:val="header"/>
    <w:basedOn w:val="Normal"/>
    <w:link w:val="HeaderChar"/>
    <w:uiPriority w:val="99"/>
    <w:unhideWhenUsed/>
    <w:rsid w:val="005A1F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1F9F"/>
  </w:style>
  <w:style w:type="paragraph" w:styleId="Footer">
    <w:name w:val="footer"/>
    <w:basedOn w:val="Normal"/>
    <w:link w:val="FooterChar"/>
    <w:uiPriority w:val="99"/>
    <w:unhideWhenUsed/>
    <w:rsid w:val="005A1F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1F9F"/>
  </w:style>
  <w:style w:type="table" w:styleId="TableGrid">
    <w:name w:val="Table Grid"/>
    <w:basedOn w:val="TableNormal"/>
    <w:uiPriority w:val="59"/>
    <w:rsid w:val="00734B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609CC"/>
    <w:pPr>
      <w:ind w:left="720"/>
      <w:contextualSpacing/>
    </w:pPr>
  </w:style>
  <w:style w:type="character" w:styleId="Hyperlink">
    <w:name w:val="Hyperlink"/>
    <w:basedOn w:val="DefaultParagraphFont"/>
    <w:uiPriority w:val="99"/>
    <w:unhideWhenUsed/>
    <w:rsid w:val="007509C0"/>
    <w:rPr>
      <w:color w:val="0000FF" w:themeColor="hyperlink"/>
      <w:u w:val="single"/>
    </w:rPr>
  </w:style>
  <w:style w:type="paragraph" w:styleId="NoSpacing">
    <w:name w:val="No Spacing"/>
    <w:uiPriority w:val="1"/>
    <w:qFormat/>
    <w:rsid w:val="00BF1211"/>
    <w:pPr>
      <w:spacing w:after="0" w:line="240" w:lineRule="auto"/>
    </w:pPr>
  </w:style>
  <w:style w:type="character" w:styleId="CommentReference">
    <w:name w:val="annotation reference"/>
    <w:basedOn w:val="DefaultParagraphFont"/>
    <w:uiPriority w:val="99"/>
    <w:semiHidden/>
    <w:unhideWhenUsed/>
    <w:rsid w:val="00E26613"/>
    <w:rPr>
      <w:sz w:val="16"/>
      <w:szCs w:val="16"/>
    </w:rPr>
  </w:style>
  <w:style w:type="paragraph" w:styleId="CommentText">
    <w:name w:val="annotation text"/>
    <w:basedOn w:val="Normal"/>
    <w:link w:val="CommentTextChar"/>
    <w:uiPriority w:val="99"/>
    <w:semiHidden/>
    <w:unhideWhenUsed/>
    <w:rsid w:val="00E26613"/>
    <w:pPr>
      <w:spacing w:line="240" w:lineRule="auto"/>
    </w:pPr>
    <w:rPr>
      <w:sz w:val="20"/>
      <w:szCs w:val="20"/>
    </w:rPr>
  </w:style>
  <w:style w:type="character" w:customStyle="1" w:styleId="CommentTextChar">
    <w:name w:val="Comment Text Char"/>
    <w:basedOn w:val="DefaultParagraphFont"/>
    <w:link w:val="CommentText"/>
    <w:uiPriority w:val="99"/>
    <w:semiHidden/>
    <w:rsid w:val="00E26613"/>
    <w:rPr>
      <w:sz w:val="20"/>
      <w:szCs w:val="20"/>
    </w:rPr>
  </w:style>
  <w:style w:type="paragraph" w:styleId="CommentSubject">
    <w:name w:val="annotation subject"/>
    <w:basedOn w:val="CommentText"/>
    <w:next w:val="CommentText"/>
    <w:link w:val="CommentSubjectChar"/>
    <w:uiPriority w:val="99"/>
    <w:semiHidden/>
    <w:unhideWhenUsed/>
    <w:rsid w:val="00E26613"/>
    <w:rPr>
      <w:b/>
      <w:bCs/>
    </w:rPr>
  </w:style>
  <w:style w:type="character" w:customStyle="1" w:styleId="CommentSubjectChar">
    <w:name w:val="Comment Subject Char"/>
    <w:basedOn w:val="CommentTextChar"/>
    <w:link w:val="CommentSubject"/>
    <w:uiPriority w:val="99"/>
    <w:semiHidden/>
    <w:rsid w:val="00E2661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jpeg"/><Relationship Id="rId13" Type="http://schemas.openxmlformats.org/officeDocument/2006/relationships/hyperlink" Target="https://dps.mn.gov/divisions/sfm/fire-code/Pages/default.aspx"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osha.gov/laws-regs/regulations/standardnumber/1910/1910.106"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cit.org/resource/public-works-loss-prevention-best-practices-guid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M:\Communications\Quick%20Takes\Quick%20Take%20Templates\Quick%20Take%20on%20Safety%20script_WorkWisely_template_20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Quick Take on Safety script_WorkWisely_template_2020</Template>
  <TotalTime>4</TotalTime>
  <Pages>4</Pages>
  <Words>940</Words>
  <Characters>5217</Characters>
  <Application>Microsoft Office Word</Application>
  <DocSecurity>0</DocSecurity>
  <Lines>193</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Heather Larson-Blakestad</dc:creator>
  <cp:lastModifiedBy>Heather Larson-Blakestad</cp:lastModifiedBy>
  <cp:revision>3</cp:revision>
  <dcterms:created xsi:type="dcterms:W3CDTF">2020-09-16T14:37:00Z</dcterms:created>
  <dcterms:modified xsi:type="dcterms:W3CDTF">2020-12-07T21:16:00Z</dcterms:modified>
</cp:coreProperties>
</file>