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4C" w:rsidRPr="00074423" w:rsidRDefault="00E73973" w:rsidP="008F0454">
      <w:pPr>
        <w:spacing w:after="0"/>
        <w:rPr>
          <w:rFonts w:ascii="Arial Black" w:hAnsi="Arial Black"/>
          <w:color w:val="89160A"/>
          <w:sz w:val="44"/>
          <w:szCs w:val="44"/>
        </w:rPr>
      </w:pPr>
      <w:r w:rsidRPr="00074423">
        <w:rPr>
          <w:rFonts w:ascii="Arial Black" w:hAnsi="Arial Black"/>
          <w:color w:val="89160A"/>
          <w:sz w:val="44"/>
          <w:szCs w:val="44"/>
        </w:rPr>
        <w:t>Property Schedules</w:t>
      </w:r>
      <w:r w:rsidR="0020364B" w:rsidRPr="00074423">
        <w:rPr>
          <w:rFonts w:ascii="Arial Black" w:hAnsi="Arial Black"/>
          <w:color w:val="89160A"/>
          <w:sz w:val="44"/>
          <w:szCs w:val="44"/>
        </w:rPr>
        <w:t xml:space="preserve"> Self-assessment</w:t>
      </w:r>
    </w:p>
    <w:p w:rsidR="0020364B" w:rsidRPr="004D4E02" w:rsidRDefault="0060294C">
      <w:pPr>
        <w:rPr>
          <w:rFonts w:ascii="Arial Narrow" w:hAnsi="Arial Narrow"/>
          <w:color w:val="545354"/>
          <w:sz w:val="24"/>
          <w:szCs w:val="24"/>
        </w:rPr>
      </w:pPr>
      <w:r w:rsidRPr="004D4E02">
        <w:rPr>
          <w:rFonts w:ascii="Arial Narrow" w:hAnsi="Arial Narrow"/>
          <w:color w:val="545354"/>
          <w:sz w:val="24"/>
          <w:szCs w:val="24"/>
        </w:rPr>
        <w:t>This self-assessment</w:t>
      </w:r>
      <w:r w:rsidR="0020364B" w:rsidRPr="004D4E02">
        <w:rPr>
          <w:rFonts w:ascii="Arial Narrow" w:hAnsi="Arial Narrow"/>
          <w:color w:val="545354"/>
          <w:sz w:val="24"/>
          <w:szCs w:val="24"/>
        </w:rPr>
        <w:t xml:space="preserve"> assist</w:t>
      </w:r>
      <w:r w:rsidRPr="004D4E02">
        <w:rPr>
          <w:rFonts w:ascii="Arial Narrow" w:hAnsi="Arial Narrow"/>
          <w:color w:val="545354"/>
          <w:sz w:val="24"/>
          <w:szCs w:val="24"/>
        </w:rPr>
        <w:t>s</w:t>
      </w:r>
      <w:r w:rsidR="0020364B" w:rsidRPr="004D4E02">
        <w:rPr>
          <w:rFonts w:ascii="Arial Narrow" w:hAnsi="Arial Narrow"/>
          <w:color w:val="545354"/>
          <w:sz w:val="24"/>
          <w:szCs w:val="24"/>
        </w:rPr>
        <w:t xml:space="preserve"> an organization in identifying areas to </w:t>
      </w:r>
      <w:r w:rsidR="00ED4805">
        <w:rPr>
          <w:rFonts w:ascii="Arial Narrow" w:hAnsi="Arial Narrow"/>
          <w:color w:val="545354"/>
          <w:sz w:val="24"/>
          <w:szCs w:val="24"/>
        </w:rPr>
        <w:t>strengthen</w:t>
      </w:r>
      <w:r w:rsidR="0020364B" w:rsidRPr="004D4E02">
        <w:rPr>
          <w:rFonts w:ascii="Arial Narrow" w:hAnsi="Arial Narrow"/>
          <w:color w:val="545354"/>
          <w:sz w:val="24"/>
          <w:szCs w:val="24"/>
        </w:rPr>
        <w:t xml:space="preserve"> to help ensure </w:t>
      </w:r>
      <w:r w:rsidR="0079645E">
        <w:rPr>
          <w:rFonts w:ascii="Arial Narrow" w:hAnsi="Arial Narrow"/>
          <w:color w:val="545354"/>
          <w:sz w:val="24"/>
          <w:szCs w:val="24"/>
        </w:rPr>
        <w:t>that all property intended to be covered is entered on the correct schedule or inventory and at the appropriate value</w:t>
      </w:r>
      <w:r w:rsidR="0020364B" w:rsidRPr="004D4E02">
        <w:rPr>
          <w:rFonts w:ascii="Arial Narrow" w:hAnsi="Arial Narrow"/>
          <w:color w:val="545354"/>
          <w:sz w:val="24"/>
          <w:szCs w:val="24"/>
        </w:rPr>
        <w:t xml:space="preserve">. </w:t>
      </w:r>
      <w:r w:rsidR="0020364B" w:rsidRPr="004D4E02">
        <w:rPr>
          <w:rFonts w:ascii="Arial Narrow" w:hAnsi="Arial Narrow"/>
          <w:b/>
          <w:color w:val="545354"/>
          <w:sz w:val="24"/>
          <w:szCs w:val="24"/>
        </w:rPr>
        <w:t>Be sure to assign action items to specific individuals or groups and follow-up to make sure that corrective actions are implemented</w:t>
      </w:r>
      <w:r w:rsidR="0020364B" w:rsidRPr="004D4E02">
        <w:rPr>
          <w:rFonts w:ascii="Arial Narrow" w:hAnsi="Arial Narrow"/>
          <w:color w:val="545354"/>
          <w:sz w:val="24"/>
          <w:szCs w:val="24"/>
        </w:rPr>
        <w:t>.</w:t>
      </w:r>
      <w:r w:rsidR="0079645E">
        <w:rPr>
          <w:rFonts w:ascii="Arial Narrow" w:hAnsi="Arial Narrow"/>
          <w:color w:val="545354"/>
          <w:sz w:val="24"/>
          <w:szCs w:val="24"/>
        </w:rPr>
        <w:t xml:space="preserve"> </w:t>
      </w:r>
      <w:hyperlink r:id="rId7" w:history="1">
        <w:r w:rsidR="0079645E" w:rsidRPr="0079645E">
          <w:rPr>
            <w:rStyle w:val="Hyperlink"/>
            <w:rFonts w:ascii="Arial Narrow" w:hAnsi="Arial Narrow"/>
            <w:sz w:val="24"/>
            <w:szCs w:val="24"/>
          </w:rPr>
          <w:t>N</w:t>
        </w:r>
        <w:r w:rsidR="00ED4805" w:rsidRPr="0079645E">
          <w:rPr>
            <w:rStyle w:val="Hyperlink"/>
            <w:rFonts w:ascii="Arial Narrow" w:hAnsi="Arial Narrow"/>
            <w:sz w:val="24"/>
            <w:szCs w:val="24"/>
          </w:rPr>
          <w:t xml:space="preserve">o-cost MCIT </w:t>
        </w:r>
        <w:r w:rsidR="0079645E" w:rsidRPr="0079645E">
          <w:rPr>
            <w:rStyle w:val="Hyperlink"/>
            <w:rFonts w:ascii="Arial Narrow" w:hAnsi="Arial Narrow"/>
            <w:sz w:val="24"/>
            <w:szCs w:val="24"/>
          </w:rPr>
          <w:t>resources</w:t>
        </w:r>
      </w:hyperlink>
      <w:r w:rsidR="0079645E">
        <w:rPr>
          <w:rFonts w:ascii="Arial Narrow" w:hAnsi="Arial Narrow"/>
          <w:color w:val="545354"/>
          <w:sz w:val="24"/>
          <w:szCs w:val="24"/>
        </w:rPr>
        <w:t xml:space="preserve"> </w:t>
      </w:r>
      <w:r w:rsidR="00ED4805">
        <w:rPr>
          <w:rFonts w:ascii="Arial Narrow" w:hAnsi="Arial Narrow"/>
          <w:color w:val="545354"/>
          <w:sz w:val="24"/>
          <w:szCs w:val="24"/>
        </w:rPr>
        <w:t xml:space="preserve">offer more in-depth </w:t>
      </w:r>
      <w:r w:rsidR="0079645E">
        <w:rPr>
          <w:rFonts w:ascii="Arial Narrow" w:hAnsi="Arial Narrow"/>
          <w:color w:val="545354"/>
          <w:sz w:val="24"/>
          <w:szCs w:val="24"/>
        </w:rPr>
        <w:t>information</w:t>
      </w:r>
      <w:r w:rsidR="00ED4805">
        <w:rPr>
          <w:rFonts w:ascii="Arial Narrow" w:hAnsi="Arial Narrow"/>
          <w:color w:val="545354"/>
          <w:sz w:val="24"/>
          <w:szCs w:val="24"/>
        </w:rPr>
        <w:t xml:space="preserve"> </w:t>
      </w:r>
      <w:r w:rsidR="0079645E">
        <w:rPr>
          <w:rFonts w:ascii="Arial Narrow" w:hAnsi="Arial Narrow"/>
          <w:color w:val="545354"/>
          <w:sz w:val="24"/>
          <w:szCs w:val="24"/>
        </w:rPr>
        <w:t>to assist a member in understanding property coverages and how to schedule items</w:t>
      </w:r>
      <w:r w:rsidR="00ED4805">
        <w:rPr>
          <w:rFonts w:ascii="Arial Narrow" w:hAnsi="Arial Narrow"/>
          <w:color w:val="545354"/>
          <w:sz w:val="24"/>
          <w:szCs w:val="24"/>
        </w:rPr>
        <w:t>.</w:t>
      </w:r>
    </w:p>
    <w:p w:rsidR="008F0454" w:rsidRPr="004D4E02" w:rsidRDefault="008F0454" w:rsidP="001B4D39">
      <w:pPr>
        <w:tabs>
          <w:tab w:val="left" w:pos="4680"/>
          <w:tab w:val="left" w:pos="8640"/>
          <w:tab w:val="left" w:pos="10620"/>
          <w:tab w:val="left" w:pos="14400"/>
        </w:tabs>
        <w:spacing w:after="200"/>
        <w:rPr>
          <w:rFonts w:ascii="Arial Narrow" w:hAnsi="Arial Narrow"/>
          <w:color w:val="333132"/>
          <w:sz w:val="24"/>
          <w:szCs w:val="24"/>
        </w:rPr>
      </w:pPr>
      <w:r w:rsidRPr="004D4E02">
        <w:rPr>
          <w:rFonts w:ascii="Arial Narrow" w:hAnsi="Arial Narrow"/>
          <w:color w:val="18345C"/>
          <w:sz w:val="24"/>
          <w:szCs w:val="24"/>
        </w:rPr>
        <w:t>Completed by:</w:t>
      </w:r>
      <w:r w:rsidRPr="004D4E02">
        <w:rPr>
          <w:rFonts w:ascii="Arial Narrow" w:hAnsi="Arial Narrow"/>
          <w:color w:val="333132"/>
          <w:sz w:val="24"/>
          <w:szCs w:val="24"/>
        </w:rPr>
        <w:t xml:space="preserve"> </w:t>
      </w:r>
      <w:r w:rsidRPr="004D4E02">
        <w:rPr>
          <w:rFonts w:ascii="Arial Narrow" w:hAnsi="Arial Narrow"/>
          <w:color w:val="333132"/>
          <w:sz w:val="24"/>
          <w:szCs w:val="24"/>
          <w:u w:val="single"/>
        </w:rPr>
        <w:tab/>
      </w:r>
      <w:r w:rsidRPr="004D4E02">
        <w:rPr>
          <w:rFonts w:ascii="Arial Narrow" w:hAnsi="Arial Narrow"/>
          <w:color w:val="18345C"/>
          <w:sz w:val="24"/>
          <w:szCs w:val="24"/>
        </w:rPr>
        <w:t xml:space="preserve">Title: </w:t>
      </w:r>
      <w:r w:rsidRPr="004D4E02">
        <w:rPr>
          <w:rFonts w:ascii="Arial Narrow" w:hAnsi="Arial Narrow"/>
          <w:color w:val="333132"/>
          <w:sz w:val="24"/>
          <w:szCs w:val="24"/>
          <w:u w:val="single"/>
        </w:rPr>
        <w:tab/>
      </w:r>
      <w:r w:rsidRPr="004D4E02">
        <w:rPr>
          <w:rFonts w:ascii="Arial Narrow" w:hAnsi="Arial Narrow"/>
          <w:color w:val="18345C"/>
          <w:sz w:val="24"/>
          <w:szCs w:val="24"/>
        </w:rPr>
        <w:t>Date:</w:t>
      </w:r>
      <w:r w:rsidRPr="004D4E02">
        <w:rPr>
          <w:rFonts w:ascii="Arial Narrow" w:hAnsi="Arial Narrow"/>
          <w:color w:val="333132"/>
          <w:sz w:val="24"/>
          <w:szCs w:val="24"/>
          <w:u w:val="single"/>
        </w:rPr>
        <w:t xml:space="preserve"> </w:t>
      </w:r>
      <w:r w:rsidRPr="004D4E02">
        <w:rPr>
          <w:rFonts w:ascii="Arial Narrow" w:hAnsi="Arial Narrow"/>
          <w:color w:val="333132"/>
          <w:sz w:val="24"/>
          <w:szCs w:val="24"/>
          <w:u w:val="single"/>
        </w:rPr>
        <w:tab/>
      </w:r>
      <w:r w:rsidRPr="004D4E02">
        <w:rPr>
          <w:rFonts w:ascii="Arial Narrow" w:hAnsi="Arial Narrow"/>
          <w:color w:val="18345C"/>
          <w:sz w:val="24"/>
          <w:szCs w:val="24"/>
        </w:rPr>
        <w:t>Signature:</w:t>
      </w:r>
      <w:r w:rsidRPr="004D4E02">
        <w:rPr>
          <w:rFonts w:ascii="Arial Narrow" w:hAnsi="Arial Narrow"/>
          <w:color w:val="333132"/>
          <w:sz w:val="24"/>
          <w:szCs w:val="24"/>
        </w:rPr>
        <w:t xml:space="preserve"> </w:t>
      </w:r>
      <w:r w:rsidRPr="004D4E02">
        <w:rPr>
          <w:rFonts w:ascii="Arial Narrow" w:hAnsi="Arial Narrow"/>
          <w:color w:val="333132"/>
          <w:sz w:val="24"/>
          <w:szCs w:val="24"/>
          <w:u w:val="single"/>
        </w:rPr>
        <w:tab/>
      </w:r>
    </w:p>
    <w:tbl>
      <w:tblPr>
        <w:tblStyle w:val="TableGrid"/>
        <w:tblW w:w="14395" w:type="dxa"/>
        <w:tblLook w:val="0680" w:firstRow="0" w:lastRow="0" w:firstColumn="1" w:lastColumn="0" w:noHBand="1" w:noVBand="1"/>
      </w:tblPr>
      <w:tblGrid>
        <w:gridCol w:w="5215"/>
        <w:gridCol w:w="630"/>
        <w:gridCol w:w="630"/>
        <w:gridCol w:w="1080"/>
        <w:gridCol w:w="2880"/>
        <w:gridCol w:w="2700"/>
        <w:gridCol w:w="1260"/>
      </w:tblGrid>
      <w:tr w:rsidR="002B0D70" w:rsidRPr="004D4E02" w:rsidTr="00EE5E32">
        <w:trPr>
          <w:tblHeader/>
        </w:trPr>
        <w:tc>
          <w:tcPr>
            <w:tcW w:w="5215" w:type="dxa"/>
            <w:tcBorders>
              <w:right w:val="single" w:sz="4" w:space="0" w:color="FFFFFF" w:themeColor="background1"/>
            </w:tcBorders>
            <w:shd w:val="clear" w:color="auto" w:fill="18345C"/>
          </w:tcPr>
          <w:p w:rsidR="002B0D70" w:rsidRPr="004D4E02" w:rsidRDefault="002B0D7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4D4E0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6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8345C"/>
          </w:tcPr>
          <w:p w:rsidR="002B0D70" w:rsidRPr="004D4E02" w:rsidRDefault="002B0D7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4D4E0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6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8345C"/>
          </w:tcPr>
          <w:p w:rsidR="002B0D70" w:rsidRPr="004D4E02" w:rsidRDefault="002B0D7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4D4E0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8345C"/>
          </w:tcPr>
          <w:p w:rsidR="002B0D70" w:rsidRPr="004D4E02" w:rsidRDefault="002B0D7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DEPT</w:t>
            </w:r>
            <w:r w:rsidR="001B27A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.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/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br/>
              <w:t>VENDOR</w:t>
            </w:r>
          </w:p>
        </w:tc>
        <w:tc>
          <w:tcPr>
            <w:tcW w:w="28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8345C"/>
          </w:tcPr>
          <w:p w:rsidR="002B0D70" w:rsidRPr="004D4E02" w:rsidRDefault="002B0D7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4D4E0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  <w:tc>
          <w:tcPr>
            <w:tcW w:w="27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8345C"/>
          </w:tcPr>
          <w:p w:rsidR="002B0D70" w:rsidRPr="004D4E02" w:rsidRDefault="002B0D7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4D4E0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ACTION ITEMS</w:t>
            </w:r>
          </w:p>
        </w:tc>
        <w:tc>
          <w:tcPr>
            <w:tcW w:w="1260" w:type="dxa"/>
            <w:tcBorders>
              <w:left w:val="single" w:sz="4" w:space="0" w:color="FFFFFF" w:themeColor="background1"/>
            </w:tcBorders>
            <w:shd w:val="clear" w:color="auto" w:fill="18345C"/>
          </w:tcPr>
          <w:p w:rsidR="002B0D70" w:rsidRPr="004D4E02" w:rsidRDefault="002B0D7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4D4E0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ASSIGNED 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br/>
            </w:r>
            <w:r w:rsidRPr="004D4E0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TO</w:t>
            </w:r>
          </w:p>
        </w:tc>
      </w:tr>
      <w:tr w:rsidR="00560CC0" w:rsidTr="00CF4E71">
        <w:tc>
          <w:tcPr>
            <w:tcW w:w="14395" w:type="dxa"/>
            <w:gridSpan w:val="7"/>
            <w:shd w:val="clear" w:color="auto" w:fill="005FAE"/>
            <w:vAlign w:val="center"/>
          </w:tcPr>
          <w:p w:rsidR="00560CC0" w:rsidRPr="004D4E02" w:rsidRDefault="00560CC0" w:rsidP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  <w:r w:rsidRPr="00560CC0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General Considerations</w:t>
            </w:r>
          </w:p>
        </w:tc>
      </w:tr>
      <w:tr w:rsidR="00822BD6" w:rsidTr="00EE5E32">
        <w:tc>
          <w:tcPr>
            <w:tcW w:w="5215" w:type="dxa"/>
          </w:tcPr>
          <w:p w:rsidR="00822BD6" w:rsidRDefault="00E73973" w:rsidP="00F91464">
            <w:pPr>
              <w:pStyle w:val="ListParagraph"/>
              <w:numPr>
                <w:ilvl w:val="0"/>
                <w:numId w:val="3"/>
              </w:numPr>
              <w:spacing w:before="80" w:after="80"/>
              <w:ind w:left="420" w:hanging="42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Does the staff recognize that if an item is not scheduled, it is likely not covered by MCIT?</w:t>
            </w:r>
          </w:p>
        </w:tc>
        <w:tc>
          <w:tcPr>
            <w:tcW w:w="630" w:type="dxa"/>
          </w:tcPr>
          <w:p w:rsidR="00822BD6" w:rsidRPr="004D4E02" w:rsidRDefault="00822BD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822BD6" w:rsidRPr="004D4E02" w:rsidRDefault="00822BD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822BD6" w:rsidRPr="004D4E02" w:rsidRDefault="00822BD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822BD6" w:rsidRPr="004D4E02" w:rsidRDefault="00822BD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822BD6" w:rsidRPr="004D4E02" w:rsidRDefault="00822BD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822BD6" w:rsidRPr="004D4E02" w:rsidRDefault="00822BD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E73973" w:rsidTr="00EE5E32">
        <w:tc>
          <w:tcPr>
            <w:tcW w:w="5215" w:type="dxa"/>
          </w:tcPr>
          <w:p w:rsidR="00E73973" w:rsidRDefault="00E73973" w:rsidP="00E73973">
            <w:pPr>
              <w:pStyle w:val="ListParagraph"/>
              <w:numPr>
                <w:ilvl w:val="0"/>
                <w:numId w:val="3"/>
              </w:numPr>
              <w:spacing w:before="80" w:after="80"/>
              <w:ind w:left="420" w:hanging="42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Does the staff understand that the organization must request the removal of scheduled property items, including in the event of a claim?</w:t>
            </w:r>
          </w:p>
        </w:tc>
        <w:tc>
          <w:tcPr>
            <w:tcW w:w="63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E73973" w:rsidTr="00EE5E32">
        <w:tc>
          <w:tcPr>
            <w:tcW w:w="5215" w:type="dxa"/>
          </w:tcPr>
          <w:p w:rsidR="00E73973" w:rsidRDefault="00E73973" w:rsidP="00E73973">
            <w:pPr>
              <w:pStyle w:val="ListParagraph"/>
              <w:numPr>
                <w:ilvl w:val="0"/>
                <w:numId w:val="3"/>
              </w:numPr>
              <w:spacing w:before="80" w:after="80"/>
              <w:ind w:left="420" w:hanging="42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Does the organization have a procedure to sort and review the property, inland marine and auto schedules, as well as the electronic data processing equipment inventory at least annually at the department level?</w:t>
            </w:r>
          </w:p>
        </w:tc>
        <w:tc>
          <w:tcPr>
            <w:tcW w:w="63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E73973" w:rsidTr="00CF4E71">
        <w:tc>
          <w:tcPr>
            <w:tcW w:w="14395" w:type="dxa"/>
            <w:gridSpan w:val="7"/>
            <w:shd w:val="clear" w:color="auto" w:fill="005FAE"/>
            <w:vAlign w:val="center"/>
          </w:tcPr>
          <w:p w:rsidR="00E73973" w:rsidRPr="00E73973" w:rsidRDefault="00E73973" w:rsidP="00DA2778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73973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Property Considerations</w:t>
            </w:r>
          </w:p>
        </w:tc>
      </w:tr>
      <w:tr w:rsidR="00E73973" w:rsidTr="00EE5E32">
        <w:trPr>
          <w:trHeight w:val="683"/>
        </w:trPr>
        <w:tc>
          <w:tcPr>
            <w:tcW w:w="5215" w:type="dxa"/>
            <w:vMerge w:val="restart"/>
          </w:tcPr>
          <w:p w:rsidR="00E73973" w:rsidRDefault="00E73973" w:rsidP="00E73973">
            <w:pPr>
              <w:pStyle w:val="ListParagraph"/>
              <w:numPr>
                <w:ilvl w:val="0"/>
                <w:numId w:val="6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Are all buildings, contents and property in the open items scheduled and valued at replacement cost?</w:t>
            </w:r>
          </w:p>
          <w:p w:rsidR="00E73973" w:rsidRPr="00E73973" w:rsidRDefault="00E73973" w:rsidP="00E73973">
            <w:pPr>
              <w:pStyle w:val="ListParagraph"/>
              <w:numPr>
                <w:ilvl w:val="0"/>
                <w:numId w:val="7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Has this been physically verified by location?</w:t>
            </w:r>
          </w:p>
        </w:tc>
        <w:tc>
          <w:tcPr>
            <w:tcW w:w="63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E73973" w:rsidTr="00EE5E32">
        <w:trPr>
          <w:trHeight w:val="350"/>
        </w:trPr>
        <w:tc>
          <w:tcPr>
            <w:tcW w:w="5215" w:type="dxa"/>
            <w:vMerge/>
          </w:tcPr>
          <w:p w:rsidR="00E73973" w:rsidRDefault="00E73973" w:rsidP="00E73973">
            <w:pPr>
              <w:pStyle w:val="ListParagraph"/>
              <w:numPr>
                <w:ilvl w:val="0"/>
                <w:numId w:val="6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E73973" w:rsidTr="00EE5E32">
        <w:tc>
          <w:tcPr>
            <w:tcW w:w="5215" w:type="dxa"/>
          </w:tcPr>
          <w:p w:rsidR="00E73973" w:rsidRDefault="00327890" w:rsidP="00327890">
            <w:pPr>
              <w:pStyle w:val="ListParagraph"/>
              <w:numPr>
                <w:ilvl w:val="0"/>
                <w:numId w:val="6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Does the organization have a process for evaluating the replacement cost of and the scheduling of buildings valued at less than $100,000?</w:t>
            </w:r>
          </w:p>
          <w:p w:rsidR="00327890" w:rsidRPr="00327890" w:rsidRDefault="00A332B1" w:rsidP="00327890">
            <w:pPr>
              <w:pStyle w:val="ListParagraph"/>
              <w:spacing w:before="80" w:after="80"/>
              <w:ind w:left="36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r w:rsidRPr="00A332B1">
              <w:rPr>
                <w:rFonts w:ascii="Arial Narrow" w:hAnsi="Arial Narrow" w:cs="Arial"/>
                <w:b/>
                <w:color w:val="333132"/>
                <w:sz w:val="20"/>
                <w:szCs w:val="20"/>
              </w:rPr>
              <w:t xml:space="preserve">Note: </w:t>
            </w:r>
            <w:r w:rsidR="00327890" w:rsidRPr="00327890">
              <w:rPr>
                <w:rFonts w:ascii="Arial Narrow" w:hAnsi="Arial Narrow" w:cs="Arial"/>
                <w:color w:val="333132"/>
                <w:sz w:val="20"/>
                <w:szCs w:val="20"/>
              </w:rPr>
              <w:t>MCIT engages an independent appraiser to determine the replacement cost of scheduled buildings over $100,000 every five years. Between appraisals, building replacement costs are adjusted using a construction cost index.</w:t>
            </w:r>
          </w:p>
        </w:tc>
        <w:tc>
          <w:tcPr>
            <w:tcW w:w="63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E73973" w:rsidRPr="004D4E02" w:rsidRDefault="00E73973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327890" w:rsidTr="00EE5E32">
        <w:trPr>
          <w:trHeight w:val="870"/>
        </w:trPr>
        <w:tc>
          <w:tcPr>
            <w:tcW w:w="5215" w:type="dxa"/>
            <w:vMerge w:val="restart"/>
          </w:tcPr>
          <w:p w:rsidR="00327890" w:rsidRDefault="00327890" w:rsidP="00327890">
            <w:pPr>
              <w:pStyle w:val="ListParagraph"/>
              <w:numPr>
                <w:ilvl w:val="0"/>
                <w:numId w:val="6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Is the contents replacement cost set using a current itemized contents list by location?</w:t>
            </w:r>
          </w:p>
          <w:p w:rsidR="00327890" w:rsidRDefault="00327890" w:rsidP="00327890">
            <w:pPr>
              <w:pStyle w:val="ListParagraph"/>
              <w:numPr>
                <w:ilvl w:val="1"/>
                <w:numId w:val="6"/>
              </w:numPr>
              <w:spacing w:before="80" w:after="80"/>
              <w:ind w:left="69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lastRenderedPageBreak/>
              <w:t>Is one employee responsible for maintaining the itemized list?</w:t>
            </w:r>
          </w:p>
          <w:p w:rsidR="00327890" w:rsidRPr="00327890" w:rsidRDefault="00327890" w:rsidP="00327890">
            <w:pPr>
              <w:spacing w:before="80" w:after="80"/>
              <w:ind w:left="33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r w:rsidRPr="00A332B1">
              <w:rPr>
                <w:rFonts w:ascii="Arial Narrow" w:hAnsi="Arial Narrow" w:cs="Arial"/>
                <w:b/>
                <w:color w:val="333132"/>
                <w:sz w:val="20"/>
                <w:szCs w:val="20"/>
              </w:rPr>
              <w:t>Tip:</w:t>
            </w:r>
            <w:r w:rsidRPr="00327890">
              <w:rPr>
                <w:rFonts w:ascii="Arial Narrow" w:hAnsi="Arial Narrow" w:cs="Arial"/>
                <w:color w:val="333132"/>
                <w:sz w:val="20"/>
                <w:szCs w:val="20"/>
              </w:rPr>
              <w:t xml:space="preserve"> Photos or video documentation is a useful first step in creating a listing and aids in claim settlement.</w:t>
            </w:r>
          </w:p>
        </w:tc>
        <w:tc>
          <w:tcPr>
            <w:tcW w:w="63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327890" w:rsidTr="00EE5E32">
        <w:trPr>
          <w:trHeight w:val="870"/>
        </w:trPr>
        <w:tc>
          <w:tcPr>
            <w:tcW w:w="5215" w:type="dxa"/>
            <w:vMerge/>
          </w:tcPr>
          <w:p w:rsidR="00327890" w:rsidRDefault="00327890" w:rsidP="00327890">
            <w:pPr>
              <w:pStyle w:val="ListParagraph"/>
              <w:numPr>
                <w:ilvl w:val="0"/>
                <w:numId w:val="6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327890" w:rsidTr="00EE5E32">
        <w:tc>
          <w:tcPr>
            <w:tcW w:w="5215" w:type="dxa"/>
          </w:tcPr>
          <w:p w:rsidR="00327890" w:rsidRDefault="00C53C56" w:rsidP="00327890">
            <w:pPr>
              <w:pStyle w:val="ListParagraph"/>
              <w:numPr>
                <w:ilvl w:val="0"/>
                <w:numId w:val="6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Does the organization have a flood map review process to identify whether any part of a location is in </w:t>
            </w:r>
            <w:r w:rsidR="00510A98">
              <w:rPr>
                <w:rFonts w:ascii="Arial" w:hAnsi="Arial" w:cs="Arial"/>
                <w:color w:val="333132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color w:val="333132"/>
                <w:sz w:val="20"/>
                <w:szCs w:val="20"/>
              </w:rPr>
              <w:t>FEMA/NFIP high-risk flood zone?</w:t>
            </w:r>
          </w:p>
          <w:p w:rsidR="00C53C56" w:rsidRPr="00C53C56" w:rsidRDefault="00A332B1" w:rsidP="00510A98">
            <w:pPr>
              <w:spacing w:before="80" w:after="80"/>
              <w:ind w:left="36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r w:rsidRPr="00A332B1">
              <w:rPr>
                <w:rFonts w:ascii="Arial Narrow" w:hAnsi="Arial Narrow" w:cs="Arial"/>
                <w:b/>
                <w:color w:val="333132"/>
                <w:sz w:val="20"/>
                <w:szCs w:val="20"/>
              </w:rPr>
              <w:t xml:space="preserve">Note: </w:t>
            </w:r>
            <w:r w:rsidR="00C53C56" w:rsidRPr="00C53C56">
              <w:rPr>
                <w:rFonts w:ascii="Arial Narrow" w:hAnsi="Arial Narrow" w:cs="Arial"/>
                <w:color w:val="333132"/>
                <w:sz w:val="20"/>
                <w:szCs w:val="20"/>
              </w:rPr>
              <w:t xml:space="preserve">MCIT does not </w:t>
            </w:r>
            <w:r w:rsidR="00510A98">
              <w:rPr>
                <w:rFonts w:ascii="Arial Narrow" w:hAnsi="Arial Narrow" w:cs="Arial"/>
                <w:color w:val="333132"/>
                <w:sz w:val="20"/>
                <w:szCs w:val="20"/>
              </w:rPr>
              <w:t>provide flood coverage for</w:t>
            </w:r>
            <w:r w:rsidR="00C53C56" w:rsidRPr="00C53C56">
              <w:rPr>
                <w:rFonts w:ascii="Arial Narrow" w:hAnsi="Arial Narrow" w:cs="Arial"/>
                <w:color w:val="333132"/>
                <w:sz w:val="20"/>
                <w:szCs w:val="20"/>
              </w:rPr>
              <w:t xml:space="preserve"> locations in high-risk flood zones. If any part of a location is in a high-risk zone, the organization should secure </w:t>
            </w:r>
            <w:r w:rsidR="00510A98">
              <w:rPr>
                <w:rFonts w:ascii="Arial Narrow" w:hAnsi="Arial Narrow" w:cs="Arial"/>
                <w:color w:val="333132"/>
                <w:sz w:val="20"/>
                <w:szCs w:val="20"/>
              </w:rPr>
              <w:t>flood insurance</w:t>
            </w:r>
            <w:r w:rsidR="00C53C56" w:rsidRPr="00C53C56">
              <w:rPr>
                <w:rFonts w:ascii="Arial Narrow" w:hAnsi="Arial Narrow" w:cs="Arial"/>
                <w:color w:val="333132"/>
                <w:sz w:val="20"/>
                <w:szCs w:val="20"/>
              </w:rPr>
              <w:t xml:space="preserve"> from the National Flood Insurance Program.</w:t>
            </w:r>
          </w:p>
        </w:tc>
        <w:tc>
          <w:tcPr>
            <w:tcW w:w="63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327890" w:rsidRPr="004D4E02" w:rsidRDefault="0032789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B273E2" w:rsidTr="00EE5E32">
        <w:tc>
          <w:tcPr>
            <w:tcW w:w="5215" w:type="dxa"/>
          </w:tcPr>
          <w:p w:rsidR="00B273E2" w:rsidRDefault="00566A20" w:rsidP="00327890">
            <w:pPr>
              <w:pStyle w:val="ListParagraph"/>
              <w:numPr>
                <w:ilvl w:val="0"/>
                <w:numId w:val="6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Does staff physically verify that all property in the open is scheduled by location and valued at replacement cost?</w:t>
            </w:r>
          </w:p>
        </w:tc>
        <w:tc>
          <w:tcPr>
            <w:tcW w:w="630" w:type="dxa"/>
          </w:tcPr>
          <w:p w:rsidR="00B273E2" w:rsidRPr="004D4E02" w:rsidRDefault="00B273E2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B273E2" w:rsidRPr="004D4E02" w:rsidRDefault="00B273E2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B273E2" w:rsidRPr="004D4E02" w:rsidRDefault="00B273E2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B273E2" w:rsidRPr="004D4E02" w:rsidRDefault="00B273E2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73E2" w:rsidRPr="004D4E02" w:rsidRDefault="00B273E2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B273E2" w:rsidRPr="004D4E02" w:rsidRDefault="00B273E2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566A20" w:rsidTr="00EE5E32">
        <w:tc>
          <w:tcPr>
            <w:tcW w:w="5215" w:type="dxa"/>
          </w:tcPr>
          <w:p w:rsidR="00566A20" w:rsidRDefault="00566A20" w:rsidP="00566A20">
            <w:pPr>
              <w:pStyle w:val="ListParagraph"/>
              <w:numPr>
                <w:ilvl w:val="0"/>
                <w:numId w:val="6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Does the organization have a comprehensive procedure for ensuring that scheduled buildings, contents and property in the open </w:t>
            </w:r>
            <w:r w:rsidR="00510A98">
              <w:rPr>
                <w:rFonts w:ascii="Arial" w:hAnsi="Arial" w:cs="Arial"/>
                <w:color w:val="333132"/>
                <w:sz w:val="20"/>
                <w:szCs w:val="20"/>
              </w:rPr>
              <w:t>are</w:t>
            </w: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 deleted from the coverage schedules when sold or otherwise disposed of?</w:t>
            </w:r>
          </w:p>
          <w:p w:rsidR="00566A20" w:rsidRPr="00566A20" w:rsidRDefault="00A332B1" w:rsidP="00566A20">
            <w:pPr>
              <w:spacing w:before="80" w:after="80"/>
              <w:ind w:left="36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r w:rsidRPr="00A332B1">
              <w:rPr>
                <w:rFonts w:ascii="Arial Narrow" w:hAnsi="Arial Narrow" w:cs="Arial"/>
                <w:b/>
                <w:color w:val="333132"/>
                <w:sz w:val="20"/>
                <w:szCs w:val="20"/>
              </w:rPr>
              <w:t xml:space="preserve">Note: </w:t>
            </w:r>
            <w:r w:rsidR="00566A20" w:rsidRPr="00566A20">
              <w:rPr>
                <w:rFonts w:ascii="Arial Narrow" w:hAnsi="Arial Narrow" w:cs="Arial"/>
                <w:color w:val="333132"/>
                <w:sz w:val="20"/>
                <w:szCs w:val="20"/>
              </w:rPr>
              <w:t>MCIT only removes items from schedules at the member’s request, even as a result of a claim.</w:t>
            </w:r>
          </w:p>
        </w:tc>
        <w:tc>
          <w:tcPr>
            <w:tcW w:w="63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566A20" w:rsidTr="00CF4E71">
        <w:tc>
          <w:tcPr>
            <w:tcW w:w="14395" w:type="dxa"/>
            <w:gridSpan w:val="7"/>
            <w:shd w:val="clear" w:color="auto" w:fill="005FAE"/>
            <w:vAlign w:val="center"/>
          </w:tcPr>
          <w:p w:rsidR="00566A20" w:rsidRPr="004D4E02" w:rsidRDefault="00566A20" w:rsidP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Inland Marine Considerations</w:t>
            </w:r>
          </w:p>
        </w:tc>
      </w:tr>
      <w:tr w:rsidR="00566A20" w:rsidTr="00463B8F">
        <w:trPr>
          <w:trHeight w:val="872"/>
        </w:trPr>
        <w:tc>
          <w:tcPr>
            <w:tcW w:w="5215" w:type="dxa"/>
            <w:vMerge w:val="restart"/>
          </w:tcPr>
          <w:p w:rsidR="00566A20" w:rsidRDefault="00566A20" w:rsidP="00566A20">
            <w:pPr>
              <w:pStyle w:val="ListParagraph"/>
              <w:numPr>
                <w:ilvl w:val="0"/>
                <w:numId w:val="10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Are contractors equipment and miscellaneous personal property items (property that moves around) scheduled at current actual cash value?</w:t>
            </w:r>
          </w:p>
          <w:p w:rsidR="00566A20" w:rsidRPr="00566A20" w:rsidRDefault="00566A20" w:rsidP="00566A20">
            <w:pPr>
              <w:pStyle w:val="ListParagraph"/>
              <w:numPr>
                <w:ilvl w:val="0"/>
                <w:numId w:val="11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Has this been physically verified?</w:t>
            </w:r>
          </w:p>
        </w:tc>
        <w:tc>
          <w:tcPr>
            <w:tcW w:w="63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566A20" w:rsidTr="00463B8F">
        <w:trPr>
          <w:trHeight w:val="440"/>
        </w:trPr>
        <w:tc>
          <w:tcPr>
            <w:tcW w:w="5215" w:type="dxa"/>
            <w:vMerge/>
          </w:tcPr>
          <w:p w:rsidR="00566A20" w:rsidRDefault="00566A20" w:rsidP="00566A20">
            <w:pPr>
              <w:pStyle w:val="ListParagraph"/>
              <w:numPr>
                <w:ilvl w:val="0"/>
                <w:numId w:val="10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566A20" w:rsidRPr="004D4E02" w:rsidRDefault="00566A2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982946" w:rsidTr="00463B8F">
        <w:trPr>
          <w:trHeight w:val="440"/>
        </w:trPr>
        <w:tc>
          <w:tcPr>
            <w:tcW w:w="5215" w:type="dxa"/>
          </w:tcPr>
          <w:p w:rsidR="00982946" w:rsidRDefault="00982946" w:rsidP="00566A20">
            <w:pPr>
              <w:pStyle w:val="ListParagraph"/>
              <w:numPr>
                <w:ilvl w:val="0"/>
                <w:numId w:val="10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Is movable property not attached to vehicles scheduled as miscellaneous personal property</w:t>
            </w:r>
            <w:r w:rsidR="00510A98">
              <w:rPr>
                <w:rFonts w:ascii="Arial" w:hAnsi="Arial" w:cs="Arial"/>
                <w:color w:val="333132"/>
                <w:sz w:val="20"/>
                <w:szCs w:val="20"/>
              </w:rPr>
              <w:t xml:space="preserve"> or electronic data processing (EDP) equipment</w:t>
            </w:r>
            <w:r>
              <w:rPr>
                <w:rFonts w:ascii="Arial" w:hAnsi="Arial" w:cs="Arial"/>
                <w:color w:val="333132"/>
                <w:sz w:val="20"/>
                <w:szCs w:val="20"/>
              </w:rPr>
              <w:t>?</w:t>
            </w:r>
          </w:p>
          <w:p w:rsidR="00510A98" w:rsidRPr="00510A98" w:rsidRDefault="00510A98" w:rsidP="00510A98">
            <w:pPr>
              <w:pStyle w:val="ListParagraph"/>
              <w:spacing w:before="80" w:after="80"/>
              <w:ind w:left="360"/>
              <w:contextualSpacing w:val="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r w:rsidRPr="00510A98">
              <w:rPr>
                <w:rFonts w:ascii="Arial Narrow" w:hAnsi="Arial Narrow" w:cs="Arial"/>
                <w:b/>
                <w:color w:val="333132"/>
                <w:sz w:val="20"/>
                <w:szCs w:val="20"/>
              </w:rPr>
              <w:t>Reminder:</w:t>
            </w:r>
            <w:r w:rsidRPr="00510A98">
              <w:rPr>
                <w:rFonts w:ascii="Arial Narrow" w:hAnsi="Arial Narrow" w:cs="Arial"/>
                <w:color w:val="333132"/>
                <w:sz w:val="20"/>
                <w:szCs w:val="20"/>
              </w:rPr>
              <w:t xml:space="preserve"> “Attached equipment” is part of the vehicle.</w:t>
            </w:r>
          </w:p>
        </w:tc>
        <w:tc>
          <w:tcPr>
            <w:tcW w:w="630" w:type="dxa"/>
          </w:tcPr>
          <w:p w:rsidR="00982946" w:rsidRPr="004D4E02" w:rsidRDefault="0098294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982946" w:rsidRPr="004D4E02" w:rsidRDefault="0098294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982946" w:rsidRPr="004D4E02" w:rsidRDefault="0098294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982946" w:rsidRPr="004D4E02" w:rsidRDefault="0098294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982946" w:rsidRPr="004D4E02" w:rsidRDefault="0098294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982946" w:rsidRPr="004D4E02" w:rsidRDefault="0098294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982946" w:rsidTr="00463B8F">
        <w:trPr>
          <w:trHeight w:val="440"/>
        </w:trPr>
        <w:tc>
          <w:tcPr>
            <w:tcW w:w="5215" w:type="dxa"/>
          </w:tcPr>
          <w:p w:rsidR="00982946" w:rsidRDefault="00982946" w:rsidP="00566A20">
            <w:pPr>
              <w:pStyle w:val="ListParagraph"/>
              <w:numPr>
                <w:ilvl w:val="0"/>
                <w:numId w:val="10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Are items in or on trailers scheduled as contractors equipment or miscellaneous personal property?</w:t>
            </w:r>
          </w:p>
        </w:tc>
        <w:tc>
          <w:tcPr>
            <w:tcW w:w="630" w:type="dxa"/>
          </w:tcPr>
          <w:p w:rsidR="00982946" w:rsidRPr="004D4E02" w:rsidRDefault="0098294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982946" w:rsidRPr="004D4E02" w:rsidRDefault="0098294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982946" w:rsidRPr="004D4E02" w:rsidRDefault="0098294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982946" w:rsidRPr="004D4E02" w:rsidRDefault="0098294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982946" w:rsidRPr="004D4E02" w:rsidRDefault="0098294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982946" w:rsidRPr="004D4E02" w:rsidRDefault="00982946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463B8F" w:rsidTr="00463B8F">
        <w:trPr>
          <w:trHeight w:val="1412"/>
        </w:trPr>
        <w:tc>
          <w:tcPr>
            <w:tcW w:w="5215" w:type="dxa"/>
            <w:vMerge w:val="restart"/>
          </w:tcPr>
          <w:p w:rsidR="00463B8F" w:rsidRDefault="00463B8F" w:rsidP="00566A20">
            <w:pPr>
              <w:pStyle w:val="ListParagraph"/>
              <w:numPr>
                <w:ilvl w:val="0"/>
                <w:numId w:val="10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Does the </w:t>
            </w:r>
            <w:r w:rsidR="00510A98">
              <w:rPr>
                <w:rFonts w:ascii="Arial" w:hAnsi="Arial" w:cs="Arial"/>
                <w:color w:val="333132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 have a comprehensive, organization-wide procedure for ensuring that all computer-related equipment is added to or deleted from the single electronic data processing (EDP) equipment inventory throughout the year?</w:t>
            </w:r>
          </w:p>
          <w:p w:rsidR="00463B8F" w:rsidRDefault="00463B8F" w:rsidP="00982946">
            <w:pPr>
              <w:pStyle w:val="ListParagraph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lastRenderedPageBreak/>
              <w:t>Is there a sing</w:t>
            </w:r>
            <w:r w:rsidR="00510A98">
              <w:rPr>
                <w:rFonts w:ascii="Arial" w:hAnsi="Arial" w:cs="Arial"/>
                <w:color w:val="333132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333132"/>
                <w:sz w:val="20"/>
                <w:szCs w:val="20"/>
              </w:rPr>
              <w:t>e point of contact (i.e., one person is responsible) for the EDP inventory?</w:t>
            </w:r>
          </w:p>
          <w:p w:rsidR="00463B8F" w:rsidRDefault="00463B8F" w:rsidP="00A332B1">
            <w:pPr>
              <w:pStyle w:val="ListParagraph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Does the organization send the EDP inventory to MCIT at least every April?</w:t>
            </w:r>
          </w:p>
          <w:p w:rsidR="00463B8F" w:rsidRPr="00560CC0" w:rsidRDefault="00463B8F" w:rsidP="00A332B1">
            <w:pPr>
              <w:spacing w:before="80" w:after="80"/>
              <w:ind w:left="36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r w:rsidRPr="00560CC0">
              <w:rPr>
                <w:rFonts w:ascii="Arial Narrow" w:hAnsi="Arial Narrow" w:cs="Arial"/>
                <w:b/>
                <w:color w:val="333132"/>
                <w:sz w:val="20"/>
                <w:szCs w:val="20"/>
              </w:rPr>
              <w:t>Tip:</w:t>
            </w:r>
            <w:r w:rsidRPr="00560CC0">
              <w:rPr>
                <w:rFonts w:ascii="Arial Narrow" w:hAnsi="Arial Narrow" w:cs="Arial"/>
                <w:color w:val="333132"/>
                <w:sz w:val="20"/>
                <w:szCs w:val="20"/>
              </w:rPr>
              <w:t xml:space="preserve"> Take the organization’s deductible into consideration when scheduling smaller-cost items, as well as how many items may be lost, damaged or destroyed in a single event.</w:t>
            </w:r>
          </w:p>
          <w:p w:rsidR="00463B8F" w:rsidRPr="00560CC0" w:rsidRDefault="00463B8F" w:rsidP="00A332B1">
            <w:pPr>
              <w:spacing w:before="80" w:after="80"/>
              <w:ind w:left="360"/>
              <w:rPr>
                <w:rFonts w:ascii="Arial" w:hAnsi="Arial" w:cs="Arial"/>
                <w:color w:val="333132"/>
                <w:sz w:val="20"/>
                <w:szCs w:val="20"/>
              </w:rPr>
            </w:pPr>
            <w:r w:rsidRPr="00560CC0">
              <w:rPr>
                <w:rFonts w:ascii="Arial Narrow" w:hAnsi="Arial Narrow" w:cs="Arial"/>
                <w:b/>
                <w:color w:val="333132"/>
                <w:sz w:val="20"/>
                <w:szCs w:val="20"/>
              </w:rPr>
              <w:t>Note:</w:t>
            </w:r>
            <w:r w:rsidRPr="00560CC0">
              <w:rPr>
                <w:rFonts w:ascii="Arial Narrow" w:hAnsi="Arial Narrow" w:cs="Arial"/>
                <w:color w:val="333132"/>
                <w:sz w:val="20"/>
                <w:szCs w:val="20"/>
              </w:rPr>
              <w:t xml:space="preserve"> No coverage is provided for the types of property covered under EDP </w:t>
            </w:r>
            <w:r>
              <w:rPr>
                <w:rFonts w:ascii="Arial Narrow" w:hAnsi="Arial Narrow" w:cs="Arial"/>
                <w:color w:val="333132"/>
                <w:sz w:val="20"/>
                <w:szCs w:val="20"/>
              </w:rPr>
              <w:t xml:space="preserve">equipment </w:t>
            </w:r>
            <w:r w:rsidRPr="00560CC0">
              <w:rPr>
                <w:rFonts w:ascii="Arial Narrow" w:hAnsi="Arial Narrow" w:cs="Arial"/>
                <w:color w:val="333132"/>
                <w:sz w:val="20"/>
                <w:szCs w:val="20"/>
              </w:rPr>
              <w:t>that is determined to have been acquired by a member more than 60 days prior to the submission date of the EDP inventory to MCIT but not included in the inventory.</w:t>
            </w:r>
          </w:p>
        </w:tc>
        <w:tc>
          <w:tcPr>
            <w:tcW w:w="63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463B8F" w:rsidTr="00463B8F">
        <w:trPr>
          <w:trHeight w:val="440"/>
        </w:trPr>
        <w:tc>
          <w:tcPr>
            <w:tcW w:w="5215" w:type="dxa"/>
            <w:vMerge/>
          </w:tcPr>
          <w:p w:rsidR="00463B8F" w:rsidRDefault="00463B8F" w:rsidP="00566A20">
            <w:pPr>
              <w:pStyle w:val="ListParagraph"/>
              <w:numPr>
                <w:ilvl w:val="0"/>
                <w:numId w:val="10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463B8F" w:rsidTr="00463B8F">
        <w:trPr>
          <w:trHeight w:val="530"/>
        </w:trPr>
        <w:tc>
          <w:tcPr>
            <w:tcW w:w="5215" w:type="dxa"/>
            <w:vMerge/>
          </w:tcPr>
          <w:p w:rsidR="00463B8F" w:rsidRDefault="00463B8F" w:rsidP="00566A20">
            <w:pPr>
              <w:pStyle w:val="ListParagraph"/>
              <w:numPr>
                <w:ilvl w:val="0"/>
                <w:numId w:val="10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463B8F" w:rsidRPr="004D4E02" w:rsidRDefault="00463B8F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04434D" w:rsidTr="00463B8F">
        <w:trPr>
          <w:trHeight w:val="440"/>
        </w:trPr>
        <w:tc>
          <w:tcPr>
            <w:tcW w:w="5215" w:type="dxa"/>
          </w:tcPr>
          <w:p w:rsidR="0004434D" w:rsidRDefault="0004434D" w:rsidP="00566A20">
            <w:pPr>
              <w:pStyle w:val="ListParagraph"/>
              <w:numPr>
                <w:ilvl w:val="0"/>
                <w:numId w:val="10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Does the organization have a comprehensive procedure for ensuring that scheduled inland marine property is deleted from the coverage schedules or inventory when sold or otherwise disposed of?</w:t>
            </w:r>
          </w:p>
          <w:p w:rsidR="00A332B1" w:rsidRPr="00A332B1" w:rsidRDefault="00A332B1" w:rsidP="00A332B1">
            <w:pPr>
              <w:spacing w:before="80" w:after="80"/>
              <w:ind w:left="33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r w:rsidRPr="00A332B1">
              <w:rPr>
                <w:rFonts w:ascii="Arial Narrow" w:hAnsi="Arial Narrow" w:cs="Arial"/>
                <w:b/>
                <w:color w:val="333132"/>
                <w:sz w:val="20"/>
                <w:szCs w:val="20"/>
              </w:rPr>
              <w:t>Note:</w:t>
            </w:r>
            <w:r w:rsidRPr="00A332B1">
              <w:rPr>
                <w:rFonts w:ascii="Arial Narrow" w:hAnsi="Arial Narrow" w:cs="Arial"/>
                <w:color w:val="333132"/>
                <w:sz w:val="20"/>
                <w:szCs w:val="20"/>
              </w:rPr>
              <w:t xml:space="preserve"> MCIT only removes items from schedules at a member’s request, even as a result of a claim.</w:t>
            </w:r>
          </w:p>
        </w:tc>
        <w:tc>
          <w:tcPr>
            <w:tcW w:w="630" w:type="dxa"/>
          </w:tcPr>
          <w:p w:rsidR="0004434D" w:rsidRPr="004D4E02" w:rsidRDefault="0004434D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04434D" w:rsidRPr="004D4E02" w:rsidRDefault="0004434D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04434D" w:rsidRPr="004D4E02" w:rsidRDefault="0004434D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04434D" w:rsidRPr="004D4E02" w:rsidRDefault="0004434D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04434D" w:rsidRPr="004D4E02" w:rsidRDefault="0004434D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434D" w:rsidRPr="004D4E02" w:rsidRDefault="0004434D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DA2778" w:rsidTr="00CF4E71">
        <w:trPr>
          <w:trHeight w:val="242"/>
        </w:trPr>
        <w:tc>
          <w:tcPr>
            <w:tcW w:w="14395" w:type="dxa"/>
            <w:gridSpan w:val="7"/>
            <w:shd w:val="clear" w:color="auto" w:fill="005FAE"/>
            <w:vAlign w:val="center"/>
          </w:tcPr>
          <w:p w:rsidR="00DA2778" w:rsidRPr="004D4E02" w:rsidRDefault="00DA2778" w:rsidP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  <w:r w:rsidRPr="00DA2778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Automobile Considerations</w:t>
            </w:r>
          </w:p>
        </w:tc>
      </w:tr>
      <w:tr w:rsidR="00F27BBC" w:rsidTr="00F27BBC">
        <w:trPr>
          <w:trHeight w:val="683"/>
        </w:trPr>
        <w:tc>
          <w:tcPr>
            <w:tcW w:w="5215" w:type="dxa"/>
            <w:vMerge w:val="restart"/>
          </w:tcPr>
          <w:p w:rsidR="00F27BBC" w:rsidRDefault="00F27BBC" w:rsidP="000611F8">
            <w:pPr>
              <w:pStyle w:val="ListParagraph"/>
              <w:numPr>
                <w:ilvl w:val="0"/>
                <w:numId w:val="15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Are all vehicles, including trailers, listed on the auto schedule?</w:t>
            </w:r>
          </w:p>
          <w:p w:rsidR="00F27BBC" w:rsidRDefault="00F27BBC" w:rsidP="00DA2778">
            <w:pPr>
              <w:pStyle w:val="ListParagraph"/>
              <w:numPr>
                <w:ilvl w:val="0"/>
                <w:numId w:val="14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Has this been physically verified?</w:t>
            </w:r>
          </w:p>
        </w:tc>
        <w:tc>
          <w:tcPr>
            <w:tcW w:w="630" w:type="dxa"/>
          </w:tcPr>
          <w:p w:rsidR="00F27BBC" w:rsidRPr="004D4E02" w:rsidRDefault="00F27BBC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F27BBC" w:rsidRPr="004D4E02" w:rsidRDefault="00F27BBC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F27BBC" w:rsidRPr="004D4E02" w:rsidRDefault="00F27BBC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F27BBC" w:rsidRPr="004D4E02" w:rsidRDefault="00F27BBC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F27BBC" w:rsidRPr="004D4E02" w:rsidRDefault="00F27BBC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F27BBC" w:rsidRPr="004D4E02" w:rsidRDefault="00F27BBC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F27BBC" w:rsidTr="00F27BBC">
        <w:trPr>
          <w:trHeight w:val="487"/>
        </w:trPr>
        <w:tc>
          <w:tcPr>
            <w:tcW w:w="5215" w:type="dxa"/>
            <w:vMerge/>
          </w:tcPr>
          <w:p w:rsidR="00F27BBC" w:rsidRDefault="00F27BBC" w:rsidP="000611F8">
            <w:pPr>
              <w:pStyle w:val="ListParagraph"/>
              <w:numPr>
                <w:ilvl w:val="0"/>
                <w:numId w:val="15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F27BBC" w:rsidRPr="004D4E02" w:rsidRDefault="00F27BBC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F27BBC" w:rsidRPr="004D4E02" w:rsidRDefault="00F27BBC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F27BBC" w:rsidRPr="004D4E02" w:rsidRDefault="00F27BBC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F27BBC" w:rsidRPr="004D4E02" w:rsidRDefault="00F27BBC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F27BBC" w:rsidRPr="004D4E02" w:rsidRDefault="00F27BBC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F27BBC" w:rsidRPr="004D4E02" w:rsidRDefault="00F27BBC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DA2778" w:rsidTr="00463B8F">
        <w:trPr>
          <w:trHeight w:val="440"/>
        </w:trPr>
        <w:tc>
          <w:tcPr>
            <w:tcW w:w="5215" w:type="dxa"/>
          </w:tcPr>
          <w:p w:rsidR="00DA2778" w:rsidRDefault="00DA2778" w:rsidP="000611F8">
            <w:pPr>
              <w:pStyle w:val="ListParagraph"/>
              <w:numPr>
                <w:ilvl w:val="0"/>
                <w:numId w:val="15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Is a system in place to schedule all newly acquired vehicles within 30 days of purchase?</w:t>
            </w:r>
          </w:p>
          <w:p w:rsidR="00DA2778" w:rsidRPr="00DA2778" w:rsidRDefault="00DA2778" w:rsidP="00DA2778">
            <w:pPr>
              <w:spacing w:before="80" w:after="80"/>
              <w:ind w:left="33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r w:rsidRPr="00DA2778">
              <w:rPr>
                <w:rFonts w:ascii="Arial Narrow" w:hAnsi="Arial Narrow" w:cs="Arial"/>
                <w:b/>
                <w:color w:val="333132"/>
                <w:sz w:val="20"/>
                <w:szCs w:val="20"/>
              </w:rPr>
              <w:t>Reminder:</w:t>
            </w:r>
            <w:r w:rsidRPr="00DA2778">
              <w:rPr>
                <w:rFonts w:ascii="Arial Narrow" w:hAnsi="Arial Narrow" w:cs="Arial"/>
                <w:color w:val="333132"/>
                <w:sz w:val="20"/>
                <w:szCs w:val="20"/>
              </w:rPr>
              <w:t xml:space="preserve"> This means scheduling at time of acquisition (purchase), not when </w:t>
            </w:r>
            <w:r w:rsidR="00510A98">
              <w:rPr>
                <w:rFonts w:ascii="Arial Narrow" w:hAnsi="Arial Narrow" w:cs="Arial"/>
                <w:color w:val="333132"/>
                <w:sz w:val="20"/>
                <w:szCs w:val="20"/>
              </w:rPr>
              <w:t xml:space="preserve">the </w:t>
            </w:r>
            <w:r w:rsidRPr="00DA2778">
              <w:rPr>
                <w:rFonts w:ascii="Arial Narrow" w:hAnsi="Arial Narrow" w:cs="Arial"/>
                <w:color w:val="333132"/>
                <w:sz w:val="20"/>
                <w:szCs w:val="20"/>
              </w:rPr>
              <w:t>vehicle is put into service (e.g., after post-purchase customization is complete).</w:t>
            </w:r>
          </w:p>
        </w:tc>
        <w:tc>
          <w:tcPr>
            <w:tcW w:w="63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DA2778" w:rsidTr="00463B8F">
        <w:trPr>
          <w:trHeight w:val="440"/>
        </w:trPr>
        <w:tc>
          <w:tcPr>
            <w:tcW w:w="5215" w:type="dxa"/>
          </w:tcPr>
          <w:p w:rsidR="00DA2778" w:rsidRDefault="00DA2778" w:rsidP="000611F8">
            <w:pPr>
              <w:pStyle w:val="ListParagraph"/>
              <w:numPr>
                <w:ilvl w:val="0"/>
                <w:numId w:val="15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Are all vehicles for which the organization intends to have physical damage coverage (collision and/or comprehensive) listed with the deductible noted on the automobile schedule?</w:t>
            </w:r>
          </w:p>
          <w:p w:rsidR="00DA2778" w:rsidRPr="00DA2778" w:rsidRDefault="00DA2778" w:rsidP="00DA2778">
            <w:pPr>
              <w:spacing w:before="80" w:after="80"/>
              <w:ind w:left="36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r w:rsidRPr="00DA2778">
              <w:rPr>
                <w:rFonts w:ascii="Arial Narrow" w:hAnsi="Arial Narrow" w:cs="Arial"/>
                <w:b/>
                <w:color w:val="333132"/>
                <w:sz w:val="20"/>
                <w:szCs w:val="20"/>
              </w:rPr>
              <w:t>Note:</w:t>
            </w:r>
            <w:r w:rsidRPr="00DA2778">
              <w:rPr>
                <w:rFonts w:ascii="Arial Narrow" w:hAnsi="Arial Narrow" w:cs="Arial"/>
                <w:color w:val="333132"/>
                <w:sz w:val="20"/>
                <w:szCs w:val="20"/>
              </w:rPr>
              <w:t xml:space="preserve"> Comprehensive and collision deductibles are listed on the schedule where physical damage coverage is in place. No deductible indicates that there is no such coverage for the vehicle.</w:t>
            </w:r>
          </w:p>
        </w:tc>
        <w:tc>
          <w:tcPr>
            <w:tcW w:w="63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DA2778" w:rsidTr="00463B8F">
        <w:trPr>
          <w:trHeight w:val="440"/>
        </w:trPr>
        <w:tc>
          <w:tcPr>
            <w:tcW w:w="5215" w:type="dxa"/>
          </w:tcPr>
          <w:p w:rsidR="00DA2778" w:rsidRDefault="009805E9" w:rsidP="000611F8">
            <w:pPr>
              <w:pStyle w:val="ListParagraph"/>
              <w:numPr>
                <w:ilvl w:val="0"/>
                <w:numId w:val="15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Does the organization have a comprehensive coverage procedure for ensuring that scheduled autos and trailers are deleted from the coverage schedules when sold or otherwise disposed of?</w:t>
            </w:r>
          </w:p>
          <w:p w:rsidR="009805E9" w:rsidRPr="009805E9" w:rsidRDefault="009805E9" w:rsidP="009805E9">
            <w:pPr>
              <w:spacing w:before="80" w:after="80"/>
              <w:ind w:left="36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r w:rsidRPr="009805E9">
              <w:rPr>
                <w:rFonts w:ascii="Arial Narrow" w:hAnsi="Arial Narrow" w:cs="Arial"/>
                <w:b/>
                <w:color w:val="333132"/>
                <w:sz w:val="20"/>
                <w:szCs w:val="20"/>
              </w:rPr>
              <w:t>Note:</w:t>
            </w:r>
            <w:r w:rsidRPr="009805E9">
              <w:rPr>
                <w:rFonts w:ascii="Arial Narrow" w:hAnsi="Arial Narrow" w:cs="Arial"/>
                <w:color w:val="333132"/>
                <w:sz w:val="20"/>
                <w:szCs w:val="20"/>
              </w:rPr>
              <w:t xml:space="preserve"> MCIT only removes items from the schedules at a member’s request, even as a result of a claim.</w:t>
            </w:r>
          </w:p>
        </w:tc>
        <w:tc>
          <w:tcPr>
            <w:tcW w:w="63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2778" w:rsidRPr="004D4E02" w:rsidRDefault="00DA277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0611F8" w:rsidTr="00CF4E71">
        <w:trPr>
          <w:trHeight w:val="323"/>
        </w:trPr>
        <w:tc>
          <w:tcPr>
            <w:tcW w:w="14395" w:type="dxa"/>
            <w:gridSpan w:val="7"/>
            <w:shd w:val="clear" w:color="auto" w:fill="005FAE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  <w:r w:rsidRPr="000611F8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Coverage Considerations</w:t>
            </w:r>
          </w:p>
        </w:tc>
      </w:tr>
      <w:tr w:rsidR="000611F8" w:rsidTr="00463B8F">
        <w:trPr>
          <w:trHeight w:val="440"/>
        </w:trPr>
        <w:tc>
          <w:tcPr>
            <w:tcW w:w="5215" w:type="dxa"/>
          </w:tcPr>
          <w:p w:rsidR="000611F8" w:rsidRDefault="000611F8" w:rsidP="00510A98">
            <w:pPr>
              <w:pStyle w:val="ListParagraph"/>
              <w:numPr>
                <w:ilvl w:val="0"/>
                <w:numId w:val="16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Has the organization reviewed </w:t>
            </w:r>
            <w:r w:rsidR="00510A98">
              <w:rPr>
                <w:rFonts w:ascii="Arial" w:hAnsi="Arial" w:cs="Arial"/>
                <w:color w:val="333132"/>
                <w:sz w:val="20"/>
                <w:szCs w:val="20"/>
              </w:rPr>
              <w:t>the definition of</w:t>
            </w: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 </w:t>
            </w:r>
            <w:r w:rsidR="00510A98">
              <w:rPr>
                <w:rFonts w:ascii="Arial" w:hAnsi="Arial" w:cs="Arial"/>
                <w:color w:val="333132"/>
                <w:sz w:val="20"/>
                <w:szCs w:val="20"/>
              </w:rPr>
              <w:t>“</w:t>
            </w:r>
            <w:r>
              <w:rPr>
                <w:rFonts w:ascii="Arial" w:hAnsi="Arial" w:cs="Arial"/>
                <w:color w:val="333132"/>
                <w:sz w:val="20"/>
                <w:szCs w:val="20"/>
              </w:rPr>
              <w:t>objects of fine art</w:t>
            </w:r>
            <w:r w:rsidR="00510A98">
              <w:rPr>
                <w:rFonts w:ascii="Arial" w:hAnsi="Arial" w:cs="Arial"/>
                <w:color w:val="333132"/>
                <w:sz w:val="20"/>
                <w:szCs w:val="20"/>
              </w:rPr>
              <w:t>” and considered adding such items</w:t>
            </w: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 to a fine arts endorsement?</w:t>
            </w:r>
          </w:p>
        </w:tc>
        <w:tc>
          <w:tcPr>
            <w:tcW w:w="63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0611F8" w:rsidTr="00463B8F">
        <w:trPr>
          <w:trHeight w:val="440"/>
        </w:trPr>
        <w:tc>
          <w:tcPr>
            <w:tcW w:w="5215" w:type="dxa"/>
          </w:tcPr>
          <w:p w:rsidR="000611F8" w:rsidRDefault="00510A98" w:rsidP="000611F8">
            <w:pPr>
              <w:pStyle w:val="ListParagraph"/>
              <w:numPr>
                <w:ilvl w:val="0"/>
                <w:numId w:val="16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Does</w:t>
            </w:r>
            <w:bookmarkStart w:id="0" w:name="_GoBack"/>
            <w:bookmarkEnd w:id="0"/>
            <w:r w:rsidR="000611F8">
              <w:rPr>
                <w:rFonts w:ascii="Arial" w:hAnsi="Arial" w:cs="Arial"/>
                <w:color w:val="333132"/>
                <w:sz w:val="20"/>
                <w:szCs w:val="20"/>
              </w:rPr>
              <w:t xml:space="preserve"> appropriate staff understand the equipment breakdown coverage and its potential applications?</w:t>
            </w:r>
          </w:p>
        </w:tc>
        <w:tc>
          <w:tcPr>
            <w:tcW w:w="63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0611F8" w:rsidTr="00463B8F">
        <w:trPr>
          <w:trHeight w:val="440"/>
        </w:trPr>
        <w:tc>
          <w:tcPr>
            <w:tcW w:w="5215" w:type="dxa"/>
          </w:tcPr>
          <w:p w:rsidR="000611F8" w:rsidRDefault="000611F8" w:rsidP="000611F8">
            <w:pPr>
              <w:pStyle w:val="ListParagraph"/>
              <w:numPr>
                <w:ilvl w:val="0"/>
                <w:numId w:val="16"/>
              </w:numPr>
              <w:spacing w:before="80" w:after="80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Has the organization completed the MCIT cyber-security self-assessment and assigned action items?</w:t>
            </w:r>
          </w:p>
        </w:tc>
        <w:tc>
          <w:tcPr>
            <w:tcW w:w="63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88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270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260" w:type="dxa"/>
          </w:tcPr>
          <w:p w:rsidR="000611F8" w:rsidRPr="004D4E02" w:rsidRDefault="000611F8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</w:tbl>
    <w:p w:rsidR="0020364B" w:rsidRDefault="0020364B" w:rsidP="008F0454">
      <w:pPr>
        <w:spacing w:after="0"/>
        <w:rPr>
          <w:rFonts w:ascii="ITC Avant Garde Std Bk Cn" w:hAnsi="ITC Avant Garde Std Bk Cn"/>
          <w:color w:val="333132"/>
          <w:sz w:val="24"/>
          <w:szCs w:val="24"/>
        </w:rPr>
      </w:pPr>
    </w:p>
    <w:p w:rsidR="008F0454" w:rsidRPr="00CF4E71" w:rsidRDefault="008F0454" w:rsidP="008F0454">
      <w:pPr>
        <w:spacing w:after="0"/>
        <w:rPr>
          <w:rFonts w:ascii="Arial Narrow" w:hAnsi="Arial Narrow"/>
          <w:b/>
          <w:color w:val="89160A"/>
          <w:sz w:val="24"/>
          <w:szCs w:val="24"/>
        </w:rPr>
      </w:pPr>
      <w:r w:rsidRPr="00CF4E71">
        <w:rPr>
          <w:rFonts w:ascii="Arial Narrow" w:hAnsi="Arial Narrow"/>
          <w:b/>
          <w:color w:val="89160A"/>
          <w:sz w:val="24"/>
          <w:szCs w:val="24"/>
        </w:rPr>
        <w:t>General Comments:</w:t>
      </w:r>
    </w:p>
    <w:p w:rsidR="008F0454" w:rsidRPr="008F0454" w:rsidRDefault="00A13D7B">
      <w:pPr>
        <w:rPr>
          <w:rFonts w:ascii="Myriad Pro" w:hAnsi="Myriad Pro"/>
          <w:color w:val="000000" w:themeColor="text1"/>
        </w:rPr>
      </w:pPr>
      <w:r>
        <w:rPr>
          <w:rFonts w:ascii="Myriad Pro" w:hAnsi="Myriad Pro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2848610</wp:posOffset>
                </wp:positionV>
                <wp:extent cx="2276475" cy="561975"/>
                <wp:effectExtent l="0" t="0" r="0" b="0"/>
                <wp:wrapNone/>
                <wp:docPr id="5" name="Group 5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561975"/>
                          <a:chOff x="0" y="0"/>
                          <a:chExt cx="2276475" cy="56197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704850" y="0"/>
                            <a:ext cx="1571625" cy="561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13D7B" w:rsidRDefault="00A13D7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463040" cy="457200"/>
                                    <wp:effectExtent l="0" t="0" r="3810" b="0"/>
                                    <wp:docPr id="2" name="Picture 2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MCIT_color_name_right_.5in.jpg"/>
                                            <pic:cNvPicPr/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6304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190500"/>
                            <a:ext cx="87630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13D7B" w:rsidRPr="00A13D7B" w:rsidRDefault="00A13D7B">
                              <w:pPr>
                                <w:rPr>
                                  <w:color w:val="545354"/>
                                </w:rPr>
                              </w:pPr>
                              <w:r w:rsidRPr="00A13D7B">
                                <w:rPr>
                                  <w:rFonts w:ascii="Arial Narrow" w:hAnsi="Arial Narrow"/>
                                  <w:color w:val="545354"/>
                                  <w:sz w:val="18"/>
                                  <w:szCs w:val="18"/>
                                </w:rPr>
                                <w:t>PROVIDED BY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href="https://www.mcit.org/protect-property/" style="position:absolute;margin-left:-8.25pt;margin-top:224.3pt;width:179.25pt;height:44.25pt;z-index:251660288" coordsize="22764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" o:button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7048;width:15716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A13D7B" w:rsidRDefault="00A13D7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63040" cy="457200"/>
                              <wp:effectExtent l="0" t="0" r="3810" b="0"/>
                              <wp:docPr id="2" name="Picture 2">
                                <a:hlinkClick xmlns:a="http://schemas.openxmlformats.org/drawingml/2006/main" r:id="rId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MCIT_color_name_right_.5in.jp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3040" cy="457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" o:spid="_x0000_s1028" type="#_x0000_t202" style="position:absolute;top:1905;width:876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A13D7B" w:rsidRPr="00A13D7B" w:rsidRDefault="00A13D7B">
                        <w:pPr>
                          <w:rPr>
                            <w:color w:val="545354"/>
                          </w:rPr>
                        </w:pPr>
                        <w:r w:rsidRPr="00A13D7B">
                          <w:rPr>
                            <w:rFonts w:ascii="Arial Narrow" w:hAnsi="Arial Narrow"/>
                            <w:color w:val="545354"/>
                            <w:sz w:val="18"/>
                            <w:szCs w:val="18"/>
                          </w:rPr>
                          <w:t>PROVIDED BY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F0454" w:rsidRPr="008F0454" w:rsidSect="002036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588" w:rsidRDefault="00750588" w:rsidP="00750588">
      <w:pPr>
        <w:spacing w:after="0" w:line="240" w:lineRule="auto"/>
      </w:pPr>
      <w:r>
        <w:separator/>
      </w:r>
    </w:p>
  </w:endnote>
  <w:endnote w:type="continuationSeparator" w:id="0">
    <w:p w:rsidR="00750588" w:rsidRDefault="00750588" w:rsidP="0075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ssilago Hv">
    <w:panose1 w:val="020B0507060000020004"/>
    <w:charset w:val="00"/>
    <w:family w:val="swiss"/>
    <w:notTrueType/>
    <w:pitch w:val="variable"/>
    <w:sig w:usb0="A000006F" w:usb1="1000201B" w:usb2="00000000" w:usb3="00000000" w:csb0="000000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588" w:rsidRDefault="00750588" w:rsidP="00750588">
      <w:pPr>
        <w:spacing w:after="0" w:line="240" w:lineRule="auto"/>
      </w:pPr>
      <w:r>
        <w:separator/>
      </w:r>
    </w:p>
  </w:footnote>
  <w:footnote w:type="continuationSeparator" w:id="0">
    <w:p w:rsidR="00750588" w:rsidRDefault="00750588" w:rsidP="00750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697"/>
    <w:multiLevelType w:val="hybridMultilevel"/>
    <w:tmpl w:val="73563E08"/>
    <w:lvl w:ilvl="0" w:tplc="80C0EC4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color w:val="0060AE"/>
      </w:rPr>
    </w:lvl>
    <w:lvl w:ilvl="1" w:tplc="EF7CEC6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005FA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40D50"/>
    <w:multiLevelType w:val="hybridMultilevel"/>
    <w:tmpl w:val="0DFE46E2"/>
    <w:lvl w:ilvl="0" w:tplc="E93424AA">
      <w:start w:val="1"/>
      <w:numFmt w:val="decimal"/>
      <w:lvlText w:val="%1."/>
      <w:lvlJc w:val="left"/>
      <w:pPr>
        <w:ind w:left="360" w:hanging="360"/>
      </w:pPr>
      <w:rPr>
        <w:rFonts w:ascii="Tussilago Hv" w:hAnsi="Tussilago Hv" w:hint="default"/>
        <w:color w:val="0060A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C0145"/>
    <w:multiLevelType w:val="hybridMultilevel"/>
    <w:tmpl w:val="F5DA66BC"/>
    <w:lvl w:ilvl="0" w:tplc="E046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60AE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51CC1"/>
    <w:multiLevelType w:val="hybridMultilevel"/>
    <w:tmpl w:val="BC327128"/>
    <w:lvl w:ilvl="0" w:tplc="E046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0A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D5B95"/>
    <w:multiLevelType w:val="hybridMultilevel"/>
    <w:tmpl w:val="6ED2D7B8"/>
    <w:lvl w:ilvl="0" w:tplc="E046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60AE"/>
        <w:sz w:val="20"/>
      </w:rPr>
    </w:lvl>
    <w:lvl w:ilvl="1" w:tplc="E04670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60A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23878"/>
    <w:multiLevelType w:val="hybridMultilevel"/>
    <w:tmpl w:val="2C9CBFFA"/>
    <w:lvl w:ilvl="0" w:tplc="80C0EC4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/>
        <w:i w:val="0"/>
        <w:color w:val="0060AE"/>
        <w:sz w:val="20"/>
      </w:rPr>
    </w:lvl>
    <w:lvl w:ilvl="1" w:tplc="E04670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0AE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EF7A9F"/>
    <w:multiLevelType w:val="hybridMultilevel"/>
    <w:tmpl w:val="F3442D5A"/>
    <w:lvl w:ilvl="0" w:tplc="E046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0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F6873"/>
    <w:multiLevelType w:val="hybridMultilevel"/>
    <w:tmpl w:val="C1E88798"/>
    <w:lvl w:ilvl="0" w:tplc="9DB47D06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color w:val="0060A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07457"/>
    <w:multiLevelType w:val="hybridMultilevel"/>
    <w:tmpl w:val="5E98828E"/>
    <w:lvl w:ilvl="0" w:tplc="4E5EC85C">
      <w:start w:val="1"/>
      <w:numFmt w:val="decimal"/>
      <w:lvlText w:val="%1."/>
      <w:lvlJc w:val="left"/>
      <w:pPr>
        <w:ind w:left="360" w:hanging="360"/>
      </w:pPr>
      <w:rPr>
        <w:rFonts w:ascii="ITC Avant Garde Std Bk" w:hAnsi="ITC Avant Garde Std Bk" w:hint="default"/>
        <w:b/>
        <w:i w:val="0"/>
        <w:color w:val="0060AE"/>
        <w:sz w:val="20"/>
      </w:rPr>
    </w:lvl>
    <w:lvl w:ilvl="1" w:tplc="EF7CEC6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005FAE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C450CC"/>
    <w:multiLevelType w:val="hybridMultilevel"/>
    <w:tmpl w:val="361C490C"/>
    <w:lvl w:ilvl="0" w:tplc="4E5EC85C">
      <w:start w:val="1"/>
      <w:numFmt w:val="decimal"/>
      <w:lvlText w:val="%1."/>
      <w:lvlJc w:val="left"/>
      <w:pPr>
        <w:ind w:left="360" w:hanging="360"/>
      </w:pPr>
      <w:rPr>
        <w:rFonts w:ascii="ITC Avant Garde Std Bk" w:hAnsi="ITC Avant Garde Std Bk" w:hint="default"/>
        <w:b/>
        <w:i w:val="0"/>
        <w:color w:val="0060AE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C91733"/>
    <w:multiLevelType w:val="hybridMultilevel"/>
    <w:tmpl w:val="5E66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60AE"/>
        <w:sz w:val="20"/>
      </w:rPr>
    </w:lvl>
    <w:lvl w:ilvl="1" w:tplc="E04670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60A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B0320"/>
    <w:multiLevelType w:val="hybridMultilevel"/>
    <w:tmpl w:val="38B87954"/>
    <w:lvl w:ilvl="0" w:tplc="865C153A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color w:val="0060A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E495F"/>
    <w:multiLevelType w:val="hybridMultilevel"/>
    <w:tmpl w:val="09847CFC"/>
    <w:lvl w:ilvl="0" w:tplc="5606A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FAE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C0C"/>
    <w:multiLevelType w:val="hybridMultilevel"/>
    <w:tmpl w:val="E38ABC3C"/>
    <w:lvl w:ilvl="0" w:tplc="5606A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FAE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F0069"/>
    <w:multiLevelType w:val="hybridMultilevel"/>
    <w:tmpl w:val="E23A7FA8"/>
    <w:lvl w:ilvl="0" w:tplc="80C0EC4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color w:val="0060AE"/>
      </w:rPr>
    </w:lvl>
    <w:lvl w:ilvl="1" w:tplc="A8D2F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5FA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A520B"/>
    <w:multiLevelType w:val="hybridMultilevel"/>
    <w:tmpl w:val="78248BC0"/>
    <w:lvl w:ilvl="0" w:tplc="80C0EC4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color w:val="0060A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4"/>
  </w:num>
  <w:num w:numId="10">
    <w:abstractNumId w:val="15"/>
  </w:num>
  <w:num w:numId="11">
    <w:abstractNumId w:val="3"/>
  </w:num>
  <w:num w:numId="12">
    <w:abstractNumId w:val="6"/>
  </w:num>
  <w:num w:numId="13">
    <w:abstractNumId w:val="13"/>
  </w:num>
  <w:num w:numId="14">
    <w:abstractNumId w:val="12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4B"/>
    <w:rsid w:val="000039A3"/>
    <w:rsid w:val="0004434D"/>
    <w:rsid w:val="000611F8"/>
    <w:rsid w:val="00074423"/>
    <w:rsid w:val="000E3D89"/>
    <w:rsid w:val="001B27A2"/>
    <w:rsid w:val="001B4D39"/>
    <w:rsid w:val="001F0D20"/>
    <w:rsid w:val="002019A6"/>
    <w:rsid w:val="0020364B"/>
    <w:rsid w:val="002B0D70"/>
    <w:rsid w:val="002C1CF3"/>
    <w:rsid w:val="00327890"/>
    <w:rsid w:val="00332517"/>
    <w:rsid w:val="00365F10"/>
    <w:rsid w:val="003A148E"/>
    <w:rsid w:val="003F30BF"/>
    <w:rsid w:val="00463B8F"/>
    <w:rsid w:val="00490FFF"/>
    <w:rsid w:val="00497236"/>
    <w:rsid w:val="004B577E"/>
    <w:rsid w:val="004D4E02"/>
    <w:rsid w:val="004F4D06"/>
    <w:rsid w:val="00510A98"/>
    <w:rsid w:val="00560CC0"/>
    <w:rsid w:val="00566A20"/>
    <w:rsid w:val="0060294C"/>
    <w:rsid w:val="006360DE"/>
    <w:rsid w:val="0065334C"/>
    <w:rsid w:val="00683A5D"/>
    <w:rsid w:val="006A05AE"/>
    <w:rsid w:val="006A23C0"/>
    <w:rsid w:val="006E5A06"/>
    <w:rsid w:val="00750588"/>
    <w:rsid w:val="0079645E"/>
    <w:rsid w:val="007D3E5A"/>
    <w:rsid w:val="00813E93"/>
    <w:rsid w:val="00822BD6"/>
    <w:rsid w:val="008430F6"/>
    <w:rsid w:val="008C30A4"/>
    <w:rsid w:val="008F0454"/>
    <w:rsid w:val="00944662"/>
    <w:rsid w:val="00954CCF"/>
    <w:rsid w:val="00963D98"/>
    <w:rsid w:val="009805E9"/>
    <w:rsid w:val="00982946"/>
    <w:rsid w:val="009902CC"/>
    <w:rsid w:val="00993601"/>
    <w:rsid w:val="00A00F5B"/>
    <w:rsid w:val="00A0730C"/>
    <w:rsid w:val="00A13D7B"/>
    <w:rsid w:val="00A332B1"/>
    <w:rsid w:val="00AA637C"/>
    <w:rsid w:val="00AF08F5"/>
    <w:rsid w:val="00B273E2"/>
    <w:rsid w:val="00B432DD"/>
    <w:rsid w:val="00B86FEF"/>
    <w:rsid w:val="00BF0B64"/>
    <w:rsid w:val="00C314B9"/>
    <w:rsid w:val="00C53C56"/>
    <w:rsid w:val="00CD0A8C"/>
    <w:rsid w:val="00CF4E71"/>
    <w:rsid w:val="00D25D15"/>
    <w:rsid w:val="00D272DB"/>
    <w:rsid w:val="00DA2778"/>
    <w:rsid w:val="00E07A77"/>
    <w:rsid w:val="00E2414F"/>
    <w:rsid w:val="00E73973"/>
    <w:rsid w:val="00EB31D3"/>
    <w:rsid w:val="00ED3D63"/>
    <w:rsid w:val="00ED4805"/>
    <w:rsid w:val="00EE5E32"/>
    <w:rsid w:val="00F27BBC"/>
    <w:rsid w:val="00F86239"/>
    <w:rsid w:val="00F9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5B78"/>
  <w15:chartTrackingRefBased/>
  <w15:docId w15:val="{ED19766A-1B12-4EC3-BFE5-63624E2B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6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588"/>
  </w:style>
  <w:style w:type="paragraph" w:styleId="Footer">
    <w:name w:val="footer"/>
    <w:basedOn w:val="Normal"/>
    <w:link w:val="FooterChar"/>
    <w:uiPriority w:val="99"/>
    <w:unhideWhenUsed/>
    <w:rsid w:val="00750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588"/>
  </w:style>
  <w:style w:type="character" w:styleId="Hyperlink">
    <w:name w:val="Hyperlink"/>
    <w:basedOn w:val="DefaultParagraphFont"/>
    <w:uiPriority w:val="99"/>
    <w:unhideWhenUsed/>
    <w:rsid w:val="00ED48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mcit.org/protect-propert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www.mcit.org/protect-prope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MCIT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Larson-Blakestad</dc:creator>
  <cp:keywords/>
  <dc:description/>
  <cp:lastModifiedBy>Heather Larson-Blakestad</cp:lastModifiedBy>
  <cp:revision>28</cp:revision>
  <dcterms:created xsi:type="dcterms:W3CDTF">2022-03-09T20:19:00Z</dcterms:created>
  <dcterms:modified xsi:type="dcterms:W3CDTF">2022-03-10T16:15:00Z</dcterms:modified>
</cp:coreProperties>
</file>